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276" w:before="57" w:after="57"/>
        <w:ind w:hanging="0" w:left="0" w:right="0"/>
        <w:jc w:val="center"/>
        <w:rPr>
          <w:rFonts w:ascii="Verdana" w:hAnsi="Verdana"/>
          <w:sz w:val="20"/>
          <w:szCs w:val="20"/>
        </w:rPr>
      </w:pPr>
      <w:r>
        <w:rPr>
          <w:rFonts w:ascii="Verdana" w:hAnsi="Verdana"/>
          <w:b/>
          <w:bCs/>
          <w:color w:val="000000"/>
          <w:sz w:val="20"/>
          <w:szCs w:val="20"/>
        </w:rPr>
        <w:t xml:space="preserve"> </w:t>
      </w:r>
      <w:r>
        <w:rPr>
          <w:rFonts w:ascii="Verdana" w:hAnsi="Verdana"/>
          <w:b/>
          <w:bCs/>
          <w:color w:val="000000"/>
          <w:sz w:val="20"/>
          <w:szCs w:val="20"/>
        </w:rPr>
        <w:t>TERMO DE REFERÊNCIA – LEI 14.133/21</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left="0"/>
        <w:jc w:val="center"/>
        <w:rPr>
          <w:rFonts w:ascii="Verdana" w:hAnsi="Verdana"/>
          <w:sz w:val="20"/>
          <w:szCs w:val="20"/>
        </w:rPr>
      </w:pPr>
      <w:r>
        <w:rPr>
          <w:rFonts w:ascii="Verdana" w:hAnsi="Verdana"/>
          <w:b/>
          <w:bCs/>
          <w:iCs/>
          <w:color w:val="000000"/>
          <w:sz w:val="20"/>
          <w:szCs w:val="20"/>
          <w:u w:val="single"/>
        </w:rPr>
        <w:t xml:space="preserve">REGISTRO DE PREÇOS – </w:t>
      </w:r>
      <w:r>
        <w:rPr>
          <w:rFonts w:eastAsia="Times New Roman" w:cs="Times New Roman" w:ascii="Verdana" w:hAnsi="Verdana"/>
          <w:b/>
          <w:bCs/>
          <w:iCs/>
          <w:color w:val="000000"/>
          <w:sz w:val="20"/>
          <w:szCs w:val="20"/>
          <w:u w:val="single"/>
        </w:rPr>
        <w:t xml:space="preserve"> </w:t>
      </w:r>
      <w:r>
        <w:rPr>
          <w:rFonts w:eastAsia="Times New Roman" w:cs="Arial" w:ascii="Verdana" w:hAnsi="Verdana"/>
          <w:b/>
          <w:bCs/>
          <w:iCs/>
          <w:color w:val="000000"/>
          <w:sz w:val="20"/>
          <w:szCs w:val="20"/>
          <w:u w:val="single"/>
        </w:rPr>
        <w:t>AQUISIÇÃO DE TABLETS</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ivel1"/>
        <w:spacing w:lineRule="auto" w:line="360" w:before="57" w:after="57"/>
        <w:ind w:hanging="0" w:left="0" w:right="0"/>
        <w:rPr>
          <w:rFonts w:ascii="Verdana" w:hAnsi="Verdana"/>
          <w:sz w:val="20"/>
          <w:szCs w:val="20"/>
        </w:rPr>
      </w:pPr>
      <w:r>
        <w:rPr>
          <w:rFonts w:cs="Times New Roman" w:ascii="Verdana" w:hAnsi="Verdana"/>
          <w:bCs/>
          <w:sz w:val="20"/>
          <w:szCs w:val="20"/>
        </w:rPr>
        <w:t>1. DAS CONDIÇÕES GERAIS DA AQUISIÇÃO</w:t>
      </w:r>
    </w:p>
    <w:p>
      <w:pPr>
        <w:pStyle w:val="ListParagraph"/>
        <w:tabs>
          <w:tab w:val="clear" w:pos="708"/>
          <w:tab w:val="left" w:pos="0" w:leader="none"/>
        </w:tabs>
        <w:suppressAutoHyphens w:val="false"/>
        <w:spacing w:lineRule="auto" w:line="360" w:before="57" w:after="57"/>
        <w:ind w:hanging="0" w:left="0" w:right="0"/>
        <w:contextualSpacing w:val="false"/>
        <w:jc w:val="both"/>
        <w:rPr>
          <w:rFonts w:ascii="Verdana" w:hAnsi="Verdana"/>
          <w:sz w:val="20"/>
          <w:szCs w:val="20"/>
        </w:rPr>
      </w:pPr>
      <w:r>
        <w:rPr>
          <w:rFonts w:ascii="Verdana" w:hAnsi="Verdana"/>
          <w:b w:val="false"/>
          <w:bCs w:val="false"/>
          <w:iCs/>
          <w:sz w:val="20"/>
          <w:szCs w:val="20"/>
        </w:rPr>
        <w:t>1.1 Abertura de Processo Licitatório  - Registro de preços</w:t>
      </w:r>
      <w:r>
        <w:rPr>
          <w:rFonts w:ascii="Verdana" w:hAnsi="Verdana"/>
          <w:b/>
          <w:bCs/>
          <w:iCs/>
          <w:sz w:val="20"/>
          <w:szCs w:val="20"/>
        </w:rPr>
        <w:t xml:space="preserve"> </w:t>
      </w:r>
      <w:r>
        <w:rPr>
          <w:rFonts w:ascii="Verdana" w:hAnsi="Verdana"/>
          <w:iCs/>
          <w:sz w:val="20"/>
          <w:szCs w:val="20"/>
        </w:rPr>
        <w:t xml:space="preserve">para aquisição de tablets para atender as necessidades </w:t>
      </w:r>
      <w:r>
        <w:rPr>
          <w:rFonts w:eastAsia="Times New Roman" w:cs="Times New Roman" w:ascii="Verdana" w:hAnsi="Verdana"/>
          <w:iCs/>
          <w:color w:val="000000"/>
          <w:sz w:val="20"/>
          <w:szCs w:val="20"/>
        </w:rPr>
        <w:t>da Secretaria Municipal de Saúde dessa municipalidade.</w:t>
      </w:r>
    </w:p>
    <w:tbl>
      <w:tblPr>
        <w:tblW w:w="9375" w:type="dxa"/>
        <w:jc w:val="center"/>
        <w:tblInd w:w="0" w:type="dxa"/>
        <w:tblLayout w:type="fixed"/>
        <w:tblCellMar>
          <w:top w:w="0" w:type="dxa"/>
          <w:left w:w="70" w:type="dxa"/>
          <w:bottom w:w="0" w:type="dxa"/>
          <w:right w:w="70" w:type="dxa"/>
        </w:tblCellMar>
      </w:tblPr>
      <w:tblGrid>
        <w:gridCol w:w="750"/>
        <w:gridCol w:w="3610"/>
        <w:gridCol w:w="875"/>
        <w:gridCol w:w="960"/>
        <w:gridCol w:w="1425"/>
        <w:gridCol w:w="1755"/>
      </w:tblGrid>
      <w:tr>
        <w:trPr>
          <w:trHeight w:val="269" w:hRule="atLeast"/>
        </w:trPr>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57" w:after="57"/>
              <w:ind w:left="0"/>
              <w:jc w:val="center"/>
              <w:rPr>
                <w:rFonts w:ascii="Verdana" w:hAnsi="Verdana"/>
                <w:sz w:val="20"/>
                <w:szCs w:val="20"/>
              </w:rPr>
            </w:pPr>
            <w:r>
              <w:rPr>
                <w:rFonts w:cs="Arial" w:ascii="Verdana" w:hAnsi="Verdana"/>
                <w:b/>
                <w:bCs/>
                <w:sz w:val="20"/>
                <w:szCs w:val="20"/>
              </w:rPr>
              <w:t>Item</w:t>
            </w:r>
          </w:p>
        </w:tc>
        <w:tc>
          <w:tcPr>
            <w:tcW w:w="36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57" w:after="57"/>
              <w:ind w:left="0"/>
              <w:jc w:val="center"/>
              <w:rPr>
                <w:rFonts w:ascii="Verdana" w:hAnsi="Verdana"/>
                <w:sz w:val="20"/>
                <w:szCs w:val="20"/>
              </w:rPr>
            </w:pPr>
            <w:r>
              <w:rPr>
                <w:rFonts w:cs="Arial" w:ascii="Verdana" w:hAnsi="Verdana"/>
                <w:b/>
                <w:bCs/>
                <w:sz w:val="20"/>
                <w:szCs w:val="20"/>
              </w:rPr>
              <w:t>Descrição</w:t>
            </w:r>
          </w:p>
        </w:tc>
        <w:tc>
          <w:tcPr>
            <w:tcW w:w="875"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before="57" w:after="57"/>
              <w:ind w:left="0"/>
              <w:jc w:val="center"/>
              <w:rPr>
                <w:rFonts w:ascii="Verdana" w:hAnsi="Verdana"/>
                <w:sz w:val="20"/>
                <w:szCs w:val="20"/>
              </w:rPr>
            </w:pPr>
            <w:r>
              <w:rPr>
                <w:rFonts w:cs="Arial" w:ascii="Verdana" w:hAnsi="Verdana"/>
                <w:b/>
                <w:bCs/>
                <w:sz w:val="20"/>
                <w:szCs w:val="20"/>
              </w:rPr>
              <w:t>Quant</w:t>
            </w:r>
          </w:p>
        </w:tc>
        <w:tc>
          <w:tcPr>
            <w:tcW w:w="960"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before="57" w:after="57"/>
              <w:ind w:left="0"/>
              <w:jc w:val="center"/>
              <w:rPr>
                <w:rFonts w:ascii="Verdana" w:hAnsi="Verdana"/>
                <w:sz w:val="20"/>
                <w:szCs w:val="20"/>
                <w:u w:val="none"/>
              </w:rPr>
            </w:pPr>
            <w:r>
              <w:rPr>
                <w:rFonts w:cs="Arial" w:ascii="Verdana" w:hAnsi="Verdana"/>
                <w:b/>
                <w:bCs/>
                <w:sz w:val="20"/>
                <w:szCs w:val="20"/>
                <w:u w:val="none"/>
              </w:rPr>
              <w:t>U</w:t>
            </w:r>
            <w:r>
              <w:rPr>
                <w:rFonts w:cs="Arial" w:ascii="Verdana" w:hAnsi="Verdana"/>
                <w:b/>
                <w:bCs/>
                <w:sz w:val="20"/>
                <w:szCs w:val="20"/>
                <w:u w:val="none"/>
              </w:rPr>
              <w:t>nid</w:t>
            </w:r>
          </w:p>
        </w:tc>
        <w:tc>
          <w:tcPr>
            <w:tcW w:w="14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57" w:after="57"/>
              <w:ind w:left="0"/>
              <w:jc w:val="center"/>
              <w:rPr>
                <w:rFonts w:ascii="Verdana" w:hAnsi="Verdana"/>
                <w:sz w:val="20"/>
                <w:szCs w:val="20"/>
              </w:rPr>
            </w:pPr>
            <w:r>
              <w:rPr>
                <w:rFonts w:cs="Arial" w:ascii="Verdana" w:hAnsi="Verdana"/>
                <w:b/>
                <w:bCs/>
                <w:sz w:val="20"/>
                <w:szCs w:val="20"/>
              </w:rPr>
              <w:t>Preço unitário</w:t>
            </w:r>
            <w:r>
              <w:rPr>
                <w:rFonts w:cs="Arial" w:ascii="Verdana" w:hAnsi="Verdana"/>
                <w:b/>
                <w:bCs/>
                <w:sz w:val="20"/>
                <w:szCs w:val="20"/>
                <w:u w:val="single"/>
              </w:rPr>
              <w:t xml:space="preserve"> </w:t>
            </w:r>
            <w:r>
              <w:rPr>
                <w:rFonts w:cs="Arial" w:ascii="Verdana" w:hAnsi="Verdana"/>
                <w:b/>
                <w:bCs/>
                <w:sz w:val="20"/>
                <w:szCs w:val="20"/>
                <w:u w:val="none"/>
              </w:rPr>
              <w:t>estimado</w:t>
            </w:r>
          </w:p>
        </w:tc>
        <w:tc>
          <w:tcPr>
            <w:tcW w:w="17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57" w:after="57"/>
              <w:ind w:left="0"/>
              <w:jc w:val="center"/>
              <w:rPr>
                <w:rFonts w:ascii="Verdana" w:hAnsi="Verdana"/>
                <w:sz w:val="20"/>
                <w:szCs w:val="20"/>
              </w:rPr>
            </w:pPr>
            <w:r>
              <w:rPr>
                <w:rFonts w:cs="Arial" w:ascii="Verdana" w:hAnsi="Verdana"/>
                <w:b/>
                <w:bCs/>
                <w:sz w:val="20"/>
                <w:szCs w:val="20"/>
              </w:rPr>
              <w:t>Preço total</w:t>
            </w:r>
            <w:r>
              <w:rPr>
                <w:rFonts w:cs="Arial" w:ascii="Verdana" w:hAnsi="Verdana"/>
                <w:b/>
                <w:bCs/>
                <w:sz w:val="20"/>
                <w:szCs w:val="20"/>
                <w:u w:val="single"/>
              </w:rPr>
              <w:t xml:space="preserve"> </w:t>
            </w:r>
            <w:r>
              <w:rPr>
                <w:rFonts w:cs="Arial" w:ascii="Verdana" w:hAnsi="Verdana"/>
                <w:b/>
                <w:bCs/>
                <w:sz w:val="20"/>
                <w:szCs w:val="20"/>
                <w:u w:val="none"/>
              </w:rPr>
              <w:t>estimado</w:t>
            </w:r>
          </w:p>
        </w:tc>
      </w:tr>
      <w:tr>
        <w:trPr>
          <w:trHeight w:val="269" w:hRule="atLeast"/>
        </w:trPr>
        <w:tc>
          <w:tcPr>
            <w:tcW w:w="75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before="57" w:after="57"/>
              <w:ind w:left="0"/>
              <w:jc w:val="center"/>
              <w:rPr>
                <w:rFonts w:ascii="Verdana" w:hAnsi="Verdana"/>
                <w:sz w:val="20"/>
                <w:szCs w:val="20"/>
              </w:rPr>
            </w:pPr>
            <w:r>
              <w:rPr>
                <w:rFonts w:cs="Arial" w:ascii="Verdana" w:hAnsi="Verdana"/>
                <w:b w:val="false"/>
                <w:bCs w:val="false"/>
                <w:sz w:val="20"/>
                <w:szCs w:val="20"/>
                <w:u w:val="none"/>
              </w:rPr>
              <w:t>01</w:t>
            </w:r>
          </w:p>
        </w:tc>
        <w:tc>
          <w:tcPr>
            <w:tcW w:w="361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jc w:val="both"/>
              <w:rPr>
                <w:rFonts w:ascii="Verdana" w:hAnsi="Verdana"/>
                <w:sz w:val="20"/>
                <w:szCs w:val="20"/>
              </w:rPr>
            </w:pPr>
            <w:r>
              <w:rPr>
                <w:rFonts w:eastAsia="Calibri" w:cs="Arial" w:ascii="Verdana" w:hAnsi="Verdana"/>
                <w:color w:val="000000"/>
                <w:kern w:val="0"/>
                <w:sz w:val="20"/>
                <w:szCs w:val="20"/>
                <w:lang w:val="pt-BR" w:eastAsia="en-US" w:bidi="ar-SA"/>
              </w:rPr>
              <w:t>TABLET – TELA 10 POLEGADAS COM AS SEGUINTES ESPECIFICAÇÕES MINIMAS:</w:t>
            </w:r>
          </w:p>
          <w:p>
            <w:pPr>
              <w:pStyle w:val="Normal"/>
              <w:widowControl w:val="false"/>
              <w:spacing w:lineRule="auto" w:line="240" w:before="57" w:after="57"/>
              <w:ind w:left="0"/>
              <w:jc w:val="both"/>
              <w:rPr>
                <w:rFonts w:ascii="Verdana" w:hAnsi="Verdana"/>
                <w:sz w:val="20"/>
                <w:szCs w:val="20"/>
              </w:rPr>
            </w:pPr>
            <w:r>
              <w:rPr>
                <w:rFonts w:eastAsia="Calibri" w:cs="Arial" w:ascii="Verdana" w:hAnsi="Verdana"/>
                <w:color w:val="000000"/>
                <w:kern w:val="0"/>
                <w:sz w:val="20"/>
                <w:szCs w:val="20"/>
                <w:lang w:val="pt-BR" w:eastAsia="en-US" w:bidi="ar-SA"/>
              </w:rPr>
              <w:t>Processador com no mínimo 8núcleos, com no mínimo 6 GB de memória RAM, com no mínimo 64 GB de armazenamento. Acesso a rede Wi-fi e Bluetooth, tela de 10 polegadas, bateria de no mínimo 5000 mah, sistema operacional de última ou penúltima geração. Itens acoplados ao produto: CAPA DE TABLET COMPATIVEL COM A MARCA COTADA.</w:t>
            </w:r>
          </w:p>
          <w:p>
            <w:pPr>
              <w:pStyle w:val="Normal"/>
              <w:widowControl w:val="false"/>
              <w:spacing w:lineRule="auto" w:line="240" w:before="57" w:after="57"/>
              <w:ind w:left="0"/>
              <w:jc w:val="both"/>
              <w:rPr>
                <w:rFonts w:ascii="Verdana" w:hAnsi="Verdana"/>
                <w:sz w:val="20"/>
                <w:szCs w:val="20"/>
              </w:rPr>
            </w:pPr>
            <w:r>
              <w:rPr>
                <w:rFonts w:eastAsia="Calibri" w:cs="Arial" w:ascii="Verdana" w:hAnsi="Verdana"/>
                <w:b/>
                <w:bCs w:val="false"/>
                <w:i w:val="false"/>
                <w:caps w:val="false"/>
                <w:smallCaps w:val="false"/>
                <w:color w:val="000000"/>
                <w:spacing w:val="0"/>
                <w:kern w:val="0"/>
                <w:sz w:val="20"/>
                <w:szCs w:val="20"/>
                <w:shd w:fill="FFFFFF" w:val="clear"/>
                <w:lang w:val="pt-BR" w:eastAsia="en-US" w:bidi="ar-SA"/>
              </w:rPr>
              <w:t>PELÍCULA DE PROTEÇÃO DE TELA ANTI IMPACTO COMPATIVEL COM A MARCA DO EQUIPAMENTO COTADA DEVIDAMENTE ACOPLADA AO PRODUTO.</w:t>
            </w:r>
          </w:p>
        </w:tc>
        <w:tc>
          <w:tcPr>
            <w:tcW w:w="875" w:type="dxa"/>
            <w:tcBorders>
              <w:left w:val="single" w:sz="4" w:space="0" w:color="000000"/>
              <w:bottom w:val="single" w:sz="4" w:space="0" w:color="000000"/>
            </w:tcBorders>
            <w:vAlign w:val="center"/>
          </w:tcPr>
          <w:p>
            <w:pPr>
              <w:pStyle w:val="Normal"/>
              <w:widowControl w:val="false"/>
              <w:spacing w:lineRule="auto" w:line="240" w:before="57" w:after="57"/>
              <w:ind w:left="0"/>
              <w:jc w:val="center"/>
              <w:rPr>
                <w:rFonts w:ascii="Verdana" w:hAnsi="Verdana"/>
                <w:sz w:val="20"/>
                <w:szCs w:val="20"/>
              </w:rPr>
            </w:pPr>
            <w:r>
              <w:rPr>
                <w:rFonts w:eastAsia="Times New Roman" w:cs="Times New Roman" w:ascii="Verdana" w:hAnsi="Verdana"/>
                <w:sz w:val="20"/>
                <w:szCs w:val="20"/>
                <w:lang w:val="pt-BR"/>
              </w:rPr>
              <w:t>186</w:t>
            </w:r>
          </w:p>
        </w:tc>
        <w:tc>
          <w:tcPr>
            <w:tcW w:w="960" w:type="dxa"/>
            <w:tcBorders>
              <w:left w:val="single" w:sz="4" w:space="0" w:color="000000"/>
              <w:bottom w:val="single" w:sz="4" w:space="0" w:color="000000"/>
            </w:tcBorders>
            <w:vAlign w:val="center"/>
          </w:tcPr>
          <w:p>
            <w:pPr>
              <w:pStyle w:val="Normal"/>
              <w:widowControl w:val="false"/>
              <w:spacing w:lineRule="auto" w:line="240" w:before="57" w:after="57"/>
              <w:ind w:left="0"/>
              <w:jc w:val="center"/>
              <w:rPr>
                <w:rFonts w:ascii="Verdana" w:hAnsi="Verdana"/>
                <w:sz w:val="20"/>
                <w:szCs w:val="20"/>
              </w:rPr>
            </w:pPr>
            <w:r>
              <w:rPr>
                <w:rFonts w:eastAsia="Times New Roman" w:cs="Times New Roman" w:ascii="Verdana" w:hAnsi="Verdana"/>
                <w:sz w:val="20"/>
                <w:szCs w:val="20"/>
                <w:lang w:val="pt-BR"/>
              </w:rPr>
              <w:t>UND</w:t>
            </w:r>
          </w:p>
        </w:tc>
        <w:tc>
          <w:tcPr>
            <w:tcW w:w="142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jc w:val="center"/>
              <w:rPr>
                <w:rFonts w:ascii="Verdana" w:hAnsi="Verdana"/>
                <w:sz w:val="20"/>
                <w:szCs w:val="20"/>
              </w:rPr>
            </w:pPr>
            <w:r>
              <w:rPr>
                <w:rFonts w:ascii="Verdana" w:hAnsi="Verdana"/>
                <w:sz w:val="20"/>
                <w:szCs w:val="20"/>
              </w:rPr>
              <w:t>R$ 2.200,00</w:t>
            </w:r>
          </w:p>
        </w:tc>
        <w:tc>
          <w:tcPr>
            <w:tcW w:w="17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jc w:val="center"/>
              <w:rPr>
                <w:rFonts w:ascii="Verdana" w:hAnsi="Verdana"/>
                <w:sz w:val="20"/>
                <w:szCs w:val="20"/>
              </w:rPr>
            </w:pPr>
            <w:r>
              <w:rPr>
                <w:rFonts w:ascii="Verdana" w:hAnsi="Verdana"/>
                <w:sz w:val="20"/>
                <w:szCs w:val="20"/>
              </w:rPr>
              <w:t>R$ 409.200,00</w:t>
            </w:r>
          </w:p>
        </w:tc>
      </w:tr>
      <w:tr>
        <w:trPr>
          <w:trHeight w:val="529" w:hRule="atLeast"/>
        </w:trPr>
        <w:tc>
          <w:tcPr>
            <w:tcW w:w="9375" w:type="dxa"/>
            <w:gridSpan w:val="6"/>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before="57" w:after="57"/>
              <w:ind w:left="0"/>
              <w:jc w:val="right"/>
              <w:rPr>
                <w:rFonts w:ascii="Verdana" w:hAnsi="Verdana"/>
                <w:sz w:val="20"/>
                <w:szCs w:val="20"/>
              </w:rPr>
            </w:pPr>
            <w:r>
              <w:rPr>
                <w:rFonts w:cs="Arial" w:ascii="Verdana" w:hAnsi="Verdana"/>
                <w:b/>
                <w:bCs/>
                <w:sz w:val="20"/>
                <w:szCs w:val="20"/>
              </w:rPr>
              <w:t>VALOR ESTIMADO TOTAL  R$409.200,00</w:t>
            </w:r>
          </w:p>
        </w:tc>
      </w:tr>
    </w:tbl>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uppressAutoHyphens w:val="false"/>
        <w:spacing w:lineRule="auto" w:line="360" w:before="57" w:after="57"/>
        <w:ind w:hanging="0" w:left="0" w:right="0"/>
        <w:jc w:val="both"/>
        <w:rPr>
          <w:rFonts w:ascii="Verdana" w:hAnsi="Verdana"/>
          <w:sz w:val="20"/>
          <w:szCs w:val="20"/>
        </w:rPr>
      </w:pPr>
      <w:r>
        <w:rPr>
          <w:rFonts w:ascii="Verdana" w:hAnsi="Verdana"/>
          <w:b w:val="false"/>
          <w:bCs w:val="false"/>
          <w:iCs/>
          <w:sz w:val="20"/>
          <w:szCs w:val="20"/>
        </w:rPr>
        <w:t>1.2</w:t>
      </w:r>
      <w:bookmarkStart w:id="0" w:name="art23§712"/>
      <w:r>
        <w:rPr>
          <w:rFonts w:ascii="Verdana" w:hAnsi="Verdana"/>
          <w:b w:val="false"/>
          <w:bCs w:val="false"/>
          <w:iCs/>
          <w:sz w:val="20"/>
          <w:szCs w:val="20"/>
        </w:rPr>
        <w:t>. Os tablets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360" w:before="57" w:after="57"/>
        <w:ind w:hanging="0" w:left="0" w:right="0"/>
        <w:contextualSpacing w:val="false"/>
        <w:jc w:val="both"/>
        <w:rPr>
          <w:rFonts w:ascii="Verdana" w:hAnsi="Verdana"/>
          <w:sz w:val="20"/>
          <w:szCs w:val="20"/>
        </w:rPr>
      </w:pPr>
      <w:r>
        <w:rPr>
          <w:rFonts w:ascii="Verdana" w:hAnsi="Verdana"/>
          <w:b w:val="false"/>
          <w:bCs w:val="false"/>
          <w:iCs/>
          <w:sz w:val="20"/>
          <w:szCs w:val="20"/>
        </w:rPr>
        <w:t>1.3.</w:t>
      </w:r>
      <w:r>
        <w:rPr>
          <w:rFonts w:ascii="Verdana" w:hAnsi="Verdana"/>
          <w:b w:val="false"/>
          <w:bCs w:val="false"/>
          <w:iCs/>
          <w:sz w:val="20"/>
          <w:szCs w:val="20"/>
          <w:u w:val="none"/>
        </w:rPr>
        <w:t xml:space="preserve"> </w:t>
      </w:r>
      <w:r>
        <w:rPr>
          <w:rFonts w:cs="Arial" w:ascii="Verdana" w:hAnsi="Verdana"/>
          <w:b w:val="false"/>
          <w:bCs w:val="false"/>
          <w:iCs/>
          <w:color w:val="000000"/>
          <w:sz w:val="20"/>
          <w:szCs w:val="20"/>
          <w:u w:val="none"/>
        </w:rPr>
        <w:t xml:space="preserve">O prazo de vigência da </w:t>
      </w:r>
      <w:r>
        <w:rPr>
          <w:rFonts w:eastAsia="Times New Roman" w:cs="Arial" w:ascii="Verdana" w:hAnsi="Verdana"/>
          <w:b w:val="false"/>
          <w:bCs w:val="false"/>
          <w:iCs/>
          <w:color w:val="000000"/>
          <w:sz w:val="20"/>
          <w:szCs w:val="20"/>
          <w:u w:val="none"/>
        </w:rPr>
        <w:t>aquisição</w:t>
      </w:r>
      <w:r>
        <w:rPr>
          <w:rFonts w:cs="Arial" w:ascii="Verdana" w:hAnsi="Verdana"/>
          <w:b w:val="false"/>
          <w:bCs w:val="false"/>
          <w:iCs/>
          <w:color w:val="000000"/>
          <w:sz w:val="20"/>
          <w:szCs w:val="20"/>
          <w:u w:val="none"/>
        </w:rPr>
        <w:t xml:space="preserve"> será de 01 (</w:t>
      </w:r>
      <w:r>
        <w:rPr>
          <w:rFonts w:eastAsia="Times New Roman" w:cs="Arial" w:ascii="Verdana" w:hAnsi="Verdana"/>
          <w:b w:val="false"/>
          <w:bCs w:val="false"/>
          <w:iCs/>
          <w:color w:val="000000"/>
          <w:sz w:val="20"/>
          <w:szCs w:val="20"/>
          <w:u w:val="none"/>
        </w:rPr>
        <w:t>um</w:t>
      </w:r>
      <w:r>
        <w:rPr>
          <w:rFonts w:cs="Arial" w:ascii="Verdana" w:hAnsi="Verdana"/>
          <w:b w:val="false"/>
          <w:bCs w:val="false"/>
          <w:iCs/>
          <w:color w:val="000000"/>
          <w:sz w:val="20"/>
          <w:szCs w:val="20"/>
          <w:u w:val="none"/>
        </w:rPr>
        <w:t xml:space="preserve">) ano, </w:t>
      </w:r>
      <w:r>
        <w:rPr>
          <w:rFonts w:cs="Arial" w:ascii="Verdana" w:hAnsi="Verdana"/>
          <w:b w:val="false"/>
          <w:bCs w:val="false"/>
          <w:iCs/>
          <w:color w:val="FF0000"/>
          <w:sz w:val="20"/>
          <w:szCs w:val="20"/>
          <w:u w:val="none"/>
        </w:rPr>
        <w:t xml:space="preserve"> </w:t>
      </w:r>
      <w:r>
        <w:rPr>
          <w:rFonts w:cs="Arial" w:ascii="Verdana" w:hAnsi="Verdana"/>
          <w:b w:val="false"/>
          <w:bCs w:val="false"/>
          <w:iCs/>
          <w:color w:val="000000"/>
          <w:sz w:val="20"/>
          <w:szCs w:val="20"/>
          <w:u w:val="none"/>
        </w:rPr>
        <w:t>contados a partir da assinatura da Ata de Registro de Preços.</w:t>
      </w:r>
    </w:p>
    <w:p>
      <w:pPr>
        <w:pStyle w:val="ListParagraph"/>
        <w:tabs>
          <w:tab w:val="clear" w:pos="708"/>
          <w:tab w:val="left" w:pos="0" w:leader="none"/>
        </w:tabs>
        <w:suppressAutoHyphens w:val="false"/>
        <w:spacing w:lineRule="auto" w:line="360" w:before="57" w:after="57"/>
        <w:ind w:hanging="0" w:left="0" w:right="0"/>
        <w:contextualSpacing w:val="false"/>
        <w:jc w:val="both"/>
        <w:rPr>
          <w:rFonts w:ascii="Verdana" w:hAnsi="Verdana"/>
          <w:sz w:val="20"/>
          <w:szCs w:val="20"/>
        </w:rPr>
      </w:pPr>
      <w:r>
        <w:rPr>
          <w:rFonts w:eastAsia="Times New Roman" w:cs="Times New Roman" w:ascii="Verdana" w:hAnsi="Verdana"/>
          <w:b w:val="false"/>
          <w:bCs w:val="false"/>
          <w:iCs/>
          <w:color w:val="000000"/>
          <w:sz w:val="20"/>
          <w:szCs w:val="20"/>
        </w:rPr>
        <w:t>1.4. O custo estimado total da aquisição é de</w:t>
      </w:r>
      <w:r>
        <w:rPr>
          <w:rFonts w:eastAsia="Times New Roman" w:cs="Times New Roman" w:ascii="Verdana" w:hAnsi="Verdana"/>
          <w:b w:val="false"/>
          <w:bCs w:val="false"/>
          <w:i/>
          <w:iCs/>
          <w:color w:val="FF0000"/>
          <w:sz w:val="20"/>
          <w:szCs w:val="20"/>
        </w:rPr>
        <w:t xml:space="preserve"> </w:t>
      </w:r>
      <w:r>
        <w:rPr>
          <w:rFonts w:eastAsia="Times New Roman" w:cs="Arial" w:ascii="Verdana" w:hAnsi="Verdana"/>
          <w:b w:val="false"/>
          <w:bCs w:val="false"/>
          <w:i w:val="false"/>
          <w:iCs w:val="false"/>
          <w:color w:val="000000"/>
          <w:sz w:val="20"/>
          <w:szCs w:val="20"/>
          <w:lang w:eastAsia="zh-CN"/>
        </w:rPr>
        <w:t xml:space="preserve">R$ </w:t>
      </w:r>
      <w:r>
        <w:rPr>
          <w:rFonts w:eastAsia="Times New Roman" w:cs="Arial" w:ascii="Verdana" w:hAnsi="Verdana"/>
          <w:b/>
          <w:bCs/>
          <w:i w:val="false"/>
          <w:iCs w:val="false"/>
          <w:color w:val="111111"/>
          <w:sz w:val="20"/>
          <w:szCs w:val="20"/>
          <w:lang w:eastAsia="zh-CN"/>
        </w:rPr>
        <w:t>409.200,00</w:t>
      </w:r>
      <w:r>
        <w:rPr>
          <w:rFonts w:eastAsia="Times New Roman" w:cs="Arial" w:ascii="Verdana" w:hAnsi="Verdana"/>
          <w:b w:val="false"/>
          <w:bCs w:val="false"/>
          <w:i w:val="false"/>
          <w:iCs w:val="false"/>
          <w:color w:val="000000"/>
          <w:sz w:val="20"/>
          <w:szCs w:val="20"/>
          <w:lang w:eastAsia="zh-CN"/>
        </w:rPr>
        <w:t xml:space="preserve"> ( quatrocentos e nove mil e duzentos reais)</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Cs/>
          <w:color w:val="000000"/>
          <w:sz w:val="20"/>
          <w:szCs w:val="20"/>
        </w:rPr>
        <w:t>conforme custos unitários  apostos nos orçame</w:t>
      </w:r>
      <w:r>
        <w:rPr>
          <w:rFonts w:eastAsia="Times New Roman" w:cs="Times New Roman" w:ascii="Verdana" w:hAnsi="Verdana"/>
          <w:iCs/>
          <w:color w:val="000000"/>
          <w:sz w:val="20"/>
          <w:szCs w:val="20"/>
        </w:rPr>
        <w:t>ntos e no quadro comparativo de preços simples em anexo.</w:t>
      </w:r>
    </w:p>
    <w:p>
      <w:pPr>
        <w:pStyle w:val="ListParagraph"/>
        <w:tabs>
          <w:tab w:val="clear" w:pos="708"/>
          <w:tab w:val="left" w:pos="0" w:leader="none"/>
        </w:tabs>
        <w:suppressAutoHyphens w:val="false"/>
        <w:spacing w:lineRule="auto" w:line="360" w:before="57" w:after="57"/>
        <w:ind w:hanging="0" w:left="0" w:right="0"/>
        <w:contextualSpacing w:val="false"/>
        <w:jc w:val="both"/>
        <w:rPr>
          <w:rFonts w:ascii="Verdana" w:hAnsi="Verdana"/>
          <w:sz w:val="20"/>
          <w:szCs w:val="20"/>
        </w:rPr>
      </w:pPr>
      <w:r>
        <w:rPr>
          <w:rFonts w:ascii="Verdana" w:hAnsi="Verdana"/>
          <w:b w:val="false"/>
          <w:bCs w:val="false"/>
          <w:sz w:val="20"/>
          <w:szCs w:val="20"/>
          <w:u w:val="none"/>
        </w:rPr>
        <w:t xml:space="preserve">1.5. </w:t>
      </w:r>
      <w:r>
        <w:rPr>
          <w:rFonts w:eastAsia="Times New Roman" w:cs="Times New Roman" w:ascii="Verdana" w:hAnsi="Verdana"/>
          <w:b w:val="false"/>
          <w:bCs w:val="false"/>
          <w:color w:val="000000"/>
          <w:sz w:val="20"/>
          <w:szCs w:val="20"/>
          <w:u w:val="none"/>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360" w:before="57" w:after="57"/>
        <w:ind w:hanging="0" w:left="0" w:right="0"/>
        <w:contextualSpacing w:val="false"/>
        <w:jc w:val="both"/>
        <w:rPr>
          <w:rFonts w:eastAsia="Times New Roman" w:cs="Times New Roman"/>
          <w:b w:val="false"/>
          <w:bCs w:val="false"/>
          <w:color w:val="000000"/>
          <w:u w:val="none"/>
        </w:rPr>
      </w:pPr>
      <w:r>
        <w:rPr>
          <w:rFonts w:ascii="Verdana" w:hAnsi="Verdana"/>
          <w:sz w:val="20"/>
          <w:szCs w:val="20"/>
        </w:rPr>
      </w:r>
    </w:p>
    <w:p>
      <w:pPr>
        <w:pStyle w:val="Nivel1"/>
        <w:spacing w:lineRule="auto" w:line="360" w:before="57" w:after="57"/>
        <w:ind w:hanging="0" w:left="0" w:right="0"/>
        <w:rPr>
          <w:rFonts w:ascii="Verdana" w:hAnsi="Verdana"/>
          <w:sz w:val="20"/>
          <w:szCs w:val="20"/>
        </w:rPr>
      </w:pPr>
      <w:r>
        <w:rPr>
          <w:rFonts w:cs="Times New Roman" w:ascii="Verdana" w:hAnsi="Verdana"/>
          <w:bCs/>
          <w:sz w:val="20"/>
          <w:szCs w:val="20"/>
        </w:rPr>
        <w:t>2. FUNDAMENTAÇÃO E DESCRIÇÃO DA NECESSIDADE DA AQUISIÇÃO</w:t>
      </w:r>
      <w:bookmarkStart w:id="2" w:name="art23§73"/>
      <w:bookmarkStart w:id="3" w:name="art23§71"/>
    </w:p>
    <w:p>
      <w:pPr>
        <w:pStyle w:val="ListParagraph"/>
        <w:spacing w:lineRule="auto" w:line="360" w:before="57" w:after="57"/>
        <w:ind w:hanging="0" w:left="0"/>
        <w:contextualSpacing w:val="false"/>
        <w:jc w:val="both"/>
        <w:rPr>
          <w:rFonts w:ascii="Verdana" w:hAnsi="Verdana"/>
          <w:sz w:val="20"/>
          <w:szCs w:val="20"/>
        </w:rPr>
      </w:pPr>
      <w:r>
        <w:rPr>
          <w:rFonts w:cs="Arial" w:ascii="Verdana" w:hAnsi="Verdana"/>
          <w:b/>
          <w:bCs/>
          <w:sz w:val="20"/>
          <w:szCs w:val="20"/>
          <w:lang w:val="pt-BR"/>
        </w:rPr>
        <w:t>2</w:t>
      </w:r>
      <w:r>
        <w:rPr>
          <w:rFonts w:cs="Arial" w:ascii="Verdana" w:hAnsi="Verdana"/>
          <w:b/>
          <w:bCs/>
          <w:sz w:val="20"/>
          <w:szCs w:val="20"/>
        </w:rPr>
        <w:t xml:space="preserve">.1. </w:t>
      </w:r>
      <w:r>
        <w:rPr>
          <w:rFonts w:cs="Arial" w:ascii="Verdana" w:hAnsi="Verdana"/>
          <w:sz w:val="20"/>
          <w:szCs w:val="20"/>
        </w:rPr>
        <w:t xml:space="preserve">Aquisição </w:t>
      </w:r>
      <w:r>
        <w:rPr>
          <w:rFonts w:cs="Arial" w:ascii="Verdana" w:hAnsi="Verdana"/>
          <w:b/>
          <w:sz w:val="20"/>
          <w:szCs w:val="20"/>
        </w:rPr>
        <w:t xml:space="preserve">por meio de </w:t>
      </w:r>
      <w:r>
        <w:rPr>
          <w:rFonts w:cs="Arial" w:ascii="Verdana" w:hAnsi="Verdana"/>
          <w:b/>
          <w:sz w:val="20"/>
          <w:szCs w:val="20"/>
          <w:lang w:val="pt-BR"/>
        </w:rPr>
        <w:t>Registro de Preços</w:t>
      </w:r>
      <w:r>
        <w:rPr>
          <w:rFonts w:cs="Arial" w:ascii="Verdana" w:hAnsi="Verdana"/>
          <w:sz w:val="20"/>
          <w:szCs w:val="20"/>
          <w:lang w:val="pt-BR"/>
        </w:rPr>
        <w:t>;</w:t>
      </w:r>
    </w:p>
    <w:p>
      <w:pPr>
        <w:pStyle w:val="PargrafodaLista"/>
        <w:widowControl w:val="false"/>
        <w:tabs>
          <w:tab w:val="clear" w:pos="708"/>
          <w:tab w:val="left" w:pos="-2410" w:leader="none"/>
          <w:tab w:val="left" w:pos="567" w:leader="none"/>
        </w:tabs>
        <w:spacing w:lineRule="auto" w:line="360" w:before="57" w:after="57"/>
        <w:ind w:hanging="0" w:left="0" w:right="0"/>
        <w:contextualSpacing w:val="false"/>
        <w:jc w:val="both"/>
        <w:rPr>
          <w:rFonts w:ascii="Verdana" w:hAnsi="Verdana"/>
          <w:sz w:val="20"/>
          <w:szCs w:val="20"/>
        </w:rPr>
      </w:pPr>
      <w:r>
        <w:rPr>
          <w:rFonts w:cs="Arial" w:ascii="Verdana" w:hAnsi="Verdana"/>
          <w:b/>
          <w:bCs/>
          <w:color w:val="000000"/>
          <w:sz w:val="20"/>
          <w:szCs w:val="20"/>
          <w:shd w:fill="auto" w:val="clear"/>
        </w:rPr>
        <w:t xml:space="preserve">2.2. </w:t>
      </w:r>
      <w:r>
        <w:rPr>
          <w:rFonts w:cs="Arial" w:ascii="Verdana" w:hAnsi="Verdana"/>
          <w:b w:val="false"/>
          <w:bCs w:val="false"/>
          <w:i w:val="false"/>
          <w:caps w:val="false"/>
          <w:smallCaps w:val="false"/>
          <w:color w:val="040C28"/>
          <w:spacing w:val="0"/>
          <w:sz w:val="20"/>
          <w:szCs w:val="20"/>
          <w:shd w:fill="auto" w:val="clear"/>
        </w:rPr>
        <w:t>Os tablets vão facilitar a transmissão dos dados coletados</w:t>
      </w:r>
      <w:r>
        <w:rPr>
          <w:rFonts w:cs="Arial" w:ascii="Verdana" w:hAnsi="Verdana"/>
          <w:b w:val="false"/>
          <w:bCs w:val="false"/>
          <w:i w:val="false"/>
          <w:caps w:val="false"/>
          <w:smallCaps w:val="false"/>
          <w:color w:val="1F1F1F"/>
          <w:spacing w:val="0"/>
          <w:sz w:val="20"/>
          <w:szCs w:val="20"/>
          <w:shd w:fill="auto" w:val="clear"/>
        </w:rPr>
        <w:t>. Antes, eles anotavam informações sobre o paciente em papel, o que leva mais tempo para organizar os dados. Com o equipamento, basta descarregar as informações em um computador na Unidade de Saúde, assim que retornarem das visitas</w:t>
      </w:r>
      <w:r>
        <w:rPr>
          <w:rFonts w:cs="Arial" w:ascii="Verdana" w:hAnsi="Verdana"/>
          <w:b w:val="false"/>
          <w:bCs w:val="false"/>
          <w:i w:val="false"/>
          <w:caps w:val="false"/>
          <w:smallCaps w:val="false"/>
          <w:color w:val="000000"/>
          <w:spacing w:val="0"/>
          <w:sz w:val="20"/>
          <w:szCs w:val="20"/>
          <w:shd w:fill="auto" w:val="clear"/>
        </w:rPr>
        <w:t>.</w:t>
      </w:r>
    </w:p>
    <w:p>
      <w:pPr>
        <w:pStyle w:val="Normal"/>
        <w:keepNext w:val="false"/>
        <w:keepLines w:val="false"/>
        <w:widowControl w:val="false"/>
        <w:overflowPunct w:val="true"/>
        <w:bidi w:val="0"/>
        <w:snapToGrid w:val="true"/>
        <w:spacing w:lineRule="auto" w:line="360" w:before="57" w:after="57"/>
        <w:ind w:left="0"/>
        <w:jc w:val="both"/>
        <w:textAlignment w:val="auto"/>
        <w:rPr>
          <w:rFonts w:ascii="Verdana" w:hAnsi="Verdana"/>
          <w:sz w:val="20"/>
          <w:szCs w:val="20"/>
        </w:rPr>
      </w:pPr>
      <w:r>
        <w:rPr>
          <w:rFonts w:ascii="Verdana" w:hAnsi="Verdana"/>
          <w:b/>
          <w:bCs/>
          <w:sz w:val="20"/>
          <w:szCs w:val="20"/>
        </w:rPr>
        <w:t>2.</w:t>
      </w:r>
      <w:r>
        <w:rPr>
          <w:rFonts w:ascii="Verdana" w:hAnsi="Verdana"/>
          <w:b/>
          <w:bCs/>
          <w:sz w:val="20"/>
          <w:szCs w:val="20"/>
        </w:rPr>
        <w:t>3</w:t>
      </w:r>
      <w:r>
        <w:rPr>
          <w:rFonts w:ascii="Verdana" w:hAnsi="Verdana"/>
          <w:b/>
          <w:bCs/>
          <w:sz w:val="20"/>
          <w:szCs w:val="20"/>
        </w:rPr>
        <w:t>.</w:t>
      </w:r>
      <w:r>
        <w:rPr>
          <w:rFonts w:ascii="Verdana" w:hAnsi="Verdana"/>
          <w:b w:val="false"/>
          <w:bCs w:val="false"/>
          <w:sz w:val="20"/>
          <w:szCs w:val="20"/>
        </w:rPr>
        <w:t xml:space="preserve"> Tal contratação resultar-se-á benéfica e vantajosa, tendo em vista que esta secretaria visa otimizar os atendimentos tornando os serviços ainda mais ágeis para a Secretaria Municipal de Saúde.</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ListParagraph"/>
        <w:spacing w:lineRule="auto" w:line="360" w:before="57" w:after="57"/>
        <w:ind w:hanging="0" w:left="0" w:right="0"/>
        <w:contextualSpacing w:val="false"/>
        <w:jc w:val="both"/>
        <w:rPr>
          <w:rFonts w:ascii="Verdana" w:hAnsi="Verdana"/>
          <w:sz w:val="20"/>
          <w:szCs w:val="20"/>
        </w:rPr>
      </w:pPr>
      <w:r>
        <w:rPr>
          <w:rFonts w:ascii="Verdana" w:hAnsi="Verdana"/>
          <w:b/>
          <w:bCs/>
          <w:sz w:val="20"/>
          <w:szCs w:val="20"/>
        </w:rPr>
        <w:t>3. DESCRIÇÃO DA SOLUÇÃO</w:t>
      </w:r>
    </w:p>
    <w:p>
      <w:pPr>
        <w:pStyle w:val="Normal"/>
        <w:spacing w:lineRule="auto" w:line="360" w:before="57" w:after="57"/>
        <w:ind w:hanging="0" w:left="0" w:right="143"/>
        <w:jc w:val="both"/>
        <w:rPr>
          <w:rFonts w:ascii="Verdana" w:hAnsi="Verdana"/>
          <w:sz w:val="20"/>
          <w:szCs w:val="20"/>
        </w:rPr>
      </w:pPr>
      <w:r>
        <w:rPr>
          <w:rFonts w:cs="Arial" w:ascii="Verdana" w:hAnsi="Verdana"/>
          <w:sz w:val="20"/>
          <w:szCs w:val="20"/>
          <w:lang w:val="pt-BR"/>
        </w:rPr>
        <w:t>3.0. A solução consiste em manter</w:t>
      </w:r>
      <w:r>
        <w:rPr>
          <w:rFonts w:cs="Arial" w:ascii="Verdana" w:hAnsi="Verdana"/>
          <w:sz w:val="20"/>
          <w:szCs w:val="20"/>
          <w:shd w:fill="auto" w:val="clear"/>
          <w:lang w:val="pt-BR"/>
        </w:rPr>
        <w:t xml:space="preserve"> em otimizar os trabalhos externos realizados pelos Agentes de Endemias e Agentes Comunitários de saúde dessa municipalidade.</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ivel1"/>
        <w:spacing w:lineRule="auto" w:line="360" w:before="57" w:after="57"/>
        <w:ind w:hanging="0" w:left="0" w:right="0"/>
        <w:rPr>
          <w:rFonts w:ascii="Verdana" w:hAnsi="Verdana"/>
          <w:sz w:val="20"/>
          <w:szCs w:val="20"/>
        </w:rPr>
      </w:pPr>
      <w:r>
        <w:rPr>
          <w:rFonts w:ascii="Verdana" w:hAnsi="Verdana"/>
          <w:bCs/>
          <w:sz w:val="20"/>
          <w:szCs w:val="20"/>
        </w:rPr>
        <w:t>4. CLASSIFICAÇÃO DOS BENS COMUNS</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color w:val="000000"/>
          <w:sz w:val="20"/>
          <w:szCs w:val="20"/>
        </w:rPr>
        <w:t xml:space="preserve">4.1. Trata-se de bens comuns a ser contratado mediante </w:t>
      </w:r>
      <w:r>
        <w:rPr>
          <w:rFonts w:eastAsia="Times New Roman" w:cs="Arial" w:ascii="Verdana" w:hAnsi="Verdana"/>
          <w:b w:val="false"/>
          <w:bCs w:val="false"/>
          <w:color w:val="000000"/>
          <w:sz w:val="20"/>
          <w:szCs w:val="20"/>
        </w:rPr>
        <w:t>registro de preços</w:t>
      </w:r>
      <w:r>
        <w:rPr>
          <w:rFonts w:cs="Arial" w:ascii="Verdana" w:hAnsi="Verdana"/>
          <w:b w:val="false"/>
          <w:bCs w:val="false"/>
          <w:color w:val="000000"/>
          <w:sz w:val="20"/>
          <w:szCs w:val="20"/>
        </w:rPr>
        <w:t>.</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jc w:val="both"/>
        <w:rPr>
          <w:rFonts w:ascii="Verdana" w:hAnsi="Verdana"/>
          <w:sz w:val="20"/>
          <w:szCs w:val="20"/>
        </w:rPr>
      </w:pPr>
      <w:r>
        <w:rPr>
          <w:rFonts w:cs="Arial" w:ascii="Verdana" w:hAnsi="Verdana"/>
          <w:b/>
          <w:bCs/>
          <w:color w:val="000000"/>
          <w:sz w:val="20"/>
          <w:szCs w:val="20"/>
        </w:rPr>
        <w:t>5. REQUISITOS DA CONTRATAÇÃO/AQUISIÇÃO</w:t>
      </w:r>
    </w:p>
    <w:p>
      <w:pPr>
        <w:pStyle w:val="Normal"/>
        <w:spacing w:lineRule="auto" w:line="360" w:before="57" w:after="57"/>
        <w:ind w:hanging="0" w:left="0" w:right="0"/>
        <w:jc w:val="both"/>
        <w:rPr>
          <w:rFonts w:ascii="Verdana" w:hAnsi="Verdana"/>
          <w:sz w:val="20"/>
          <w:szCs w:val="20"/>
        </w:rPr>
      </w:pPr>
      <w:r>
        <w:rPr>
          <w:rFonts w:ascii="Verdana" w:hAnsi="Verdana"/>
          <w:b w:val="false"/>
          <w:bCs w:val="false"/>
          <w:sz w:val="20"/>
          <w:szCs w:val="20"/>
        </w:rPr>
        <w:t xml:space="preserve">A </w:t>
      </w:r>
      <w:r>
        <w:rPr>
          <w:rFonts w:eastAsia="Times New Roman" w:cs="Times New Roman" w:ascii="Verdana" w:hAnsi="Verdana"/>
          <w:b w:val="false"/>
          <w:bCs w:val="false"/>
          <w:sz w:val="20"/>
          <w:szCs w:val="20"/>
        </w:rPr>
        <w:t>aquis</w:t>
      </w:r>
      <w:r>
        <w:rPr>
          <w:rFonts w:eastAsia="Times New Roman" w:cs="Times New Roman" w:ascii="Verdana" w:hAnsi="Verdana"/>
          <w:sz w:val="20"/>
          <w:szCs w:val="20"/>
        </w:rPr>
        <w:t>ição</w:t>
      </w:r>
      <w:r>
        <w:rPr>
          <w:rFonts w:ascii="Verdana" w:hAnsi="Verdana"/>
          <w:sz w:val="20"/>
          <w:szCs w:val="20"/>
        </w:rPr>
        <w:t xml:space="preserve"> deverá observar os seguintes requisitos:</w:t>
      </w:r>
    </w:p>
    <w:p>
      <w:pPr>
        <w:pStyle w:val="Normal"/>
        <w:spacing w:lineRule="auto" w:line="360" w:before="57" w:after="57"/>
        <w:ind w:hanging="0" w:left="0" w:right="0"/>
        <w:jc w:val="both"/>
        <w:rPr>
          <w:rFonts w:ascii="Verdana" w:hAnsi="Verdana"/>
          <w:sz w:val="20"/>
          <w:szCs w:val="20"/>
        </w:rPr>
      </w:pPr>
      <w:r>
        <w:rPr>
          <w:rFonts w:ascii="Verdana" w:hAnsi="Verdana"/>
          <w:b w:val="false"/>
          <w:bCs w:val="false"/>
          <w:sz w:val="20"/>
          <w:szCs w:val="20"/>
        </w:rPr>
        <w:t>5.1. Não haverá danos ao meio ambiente, uma vez que a aquisição não gera  problema para a Administração Pública.</w:t>
      </w:r>
    </w:p>
    <w:p>
      <w:pPr>
        <w:pStyle w:val="ListParagraph"/>
        <w:tabs>
          <w:tab w:val="clear" w:pos="708"/>
          <w:tab w:val="left" w:pos="450" w:leader="none"/>
        </w:tabs>
        <w:suppressAutoHyphens w:val="false"/>
        <w:spacing w:lineRule="auto" w:line="360" w:before="57" w:after="57"/>
        <w:ind w:hanging="0" w:left="0" w:right="0"/>
        <w:contextualSpacing w:val="false"/>
        <w:jc w:val="both"/>
        <w:rPr>
          <w:rFonts w:ascii="Verdana" w:hAnsi="Verdana"/>
          <w:sz w:val="20"/>
          <w:szCs w:val="20"/>
        </w:rPr>
      </w:pPr>
      <w:r>
        <w:rPr>
          <w:rFonts w:ascii="Verdana" w:hAnsi="Verdana"/>
          <w:b w:val="false"/>
          <w:bCs w:val="false"/>
          <w:i w:val="false"/>
          <w:iCs w:val="false"/>
          <w:sz w:val="20"/>
          <w:szCs w:val="20"/>
        </w:rPr>
        <w:t xml:space="preserve">5.2. A aquisição se dará por </w:t>
      </w:r>
      <w:r>
        <w:rPr>
          <w:rFonts w:eastAsia="Times New Roman" w:cs="Times New Roman" w:ascii="Verdana" w:hAnsi="Verdana"/>
          <w:b w:val="false"/>
          <w:bCs w:val="false"/>
          <w:i w:val="false"/>
          <w:iCs w:val="false"/>
          <w:sz w:val="20"/>
          <w:szCs w:val="20"/>
        </w:rPr>
        <w:t>registro de preços</w:t>
      </w:r>
      <w:r>
        <w:rPr>
          <w:rFonts w:ascii="Verdana" w:hAnsi="Verdana"/>
          <w:b w:val="false"/>
          <w:bCs w:val="false"/>
          <w:i w:val="false"/>
          <w:iCs w:val="false"/>
          <w:sz w:val="20"/>
          <w:szCs w:val="20"/>
        </w:rPr>
        <w:t xml:space="preserve">, </w:t>
      </w:r>
      <w:r>
        <w:rPr>
          <w:rFonts w:eastAsia="Times New Roman" w:cs="Arial" w:ascii="Verdana" w:hAnsi="Verdana"/>
          <w:b w:val="false"/>
          <w:bCs w:val="false"/>
          <w:i w:val="false"/>
          <w:iCs w:val="false"/>
          <w:sz w:val="20"/>
          <w:szCs w:val="20"/>
        </w:rPr>
        <w:t xml:space="preserve">sendo necessária a emissão de autorização de fornecimento </w:t>
      </w:r>
      <w:r>
        <w:rPr>
          <w:rFonts w:eastAsia="Times New Roman" w:cs="Arial" w:ascii="Verdana" w:hAnsi="Verdana"/>
          <w:b w:val="false"/>
          <w:bCs w:val="false"/>
          <w:i w:val="false"/>
          <w:iCs w:val="false"/>
          <w:sz w:val="20"/>
          <w:szCs w:val="20"/>
          <w:lang w:eastAsia="zh-CN"/>
        </w:rPr>
        <w:t xml:space="preserve">dos itens concedendo o prazo de 20 ( vinte)  dias para a entrega, </w:t>
      </w:r>
      <w:r>
        <w:rPr>
          <w:rFonts w:ascii="Verdana" w:hAnsi="Verdana"/>
          <w:b w:val="false"/>
          <w:bCs w:val="false"/>
          <w:i w:val="false"/>
          <w:iCs w:val="false"/>
          <w:sz w:val="20"/>
          <w:szCs w:val="20"/>
        </w:rPr>
        <w:t>por parte DA CONTRATADA sendo sagrado vencedor o fornecedor que apresentar o menor valor por item a ser adquirido.</w:t>
      </w:r>
    </w:p>
    <w:p>
      <w:pPr>
        <w:pStyle w:val="ListParagraph"/>
        <w:tabs>
          <w:tab w:val="clear" w:pos="708"/>
          <w:tab w:val="left" w:pos="450" w:leader="none"/>
        </w:tabs>
        <w:suppressAutoHyphens w:val="false"/>
        <w:spacing w:lineRule="auto" w:line="360" w:before="57" w:after="57"/>
        <w:ind w:hanging="0" w:left="0" w:right="0"/>
        <w:contextualSpacing w:val="false"/>
        <w:jc w:val="both"/>
        <w:rPr>
          <w:rFonts w:ascii="Verdana" w:hAnsi="Verdana"/>
          <w:sz w:val="20"/>
          <w:szCs w:val="20"/>
        </w:rPr>
      </w:pPr>
      <w:r>
        <w:rPr>
          <w:rFonts w:ascii="Verdana" w:hAnsi="Verdana"/>
          <w:b w:val="false"/>
          <w:bCs w:val="false"/>
          <w:i w:val="false"/>
          <w:iCs w:val="false"/>
          <w:sz w:val="20"/>
          <w:szCs w:val="20"/>
        </w:rPr>
        <w:t xml:space="preserve">5.3. </w:t>
      </w:r>
      <w:r>
        <w:rPr>
          <w:rFonts w:ascii="Verdana" w:hAnsi="Verdana"/>
          <w:b w:val="false"/>
          <w:bCs w:val="false"/>
          <w:i w:val="false"/>
          <w:iCs w:val="false"/>
          <w:sz w:val="20"/>
          <w:szCs w:val="20"/>
          <w:u w:val="none"/>
        </w:rPr>
        <w:t xml:space="preserve">A empresa detentora da ata registrará o preço por 01 (um) </w:t>
      </w:r>
      <w:r>
        <w:rPr>
          <w:rFonts w:eastAsia="Times New Roman" w:cs="Times New Roman" w:ascii="Verdana" w:hAnsi="Verdana"/>
          <w:b w:val="false"/>
          <w:bCs w:val="false"/>
          <w:i w:val="false"/>
          <w:iCs w:val="false"/>
          <w:sz w:val="20"/>
          <w:szCs w:val="20"/>
          <w:u w:val="none"/>
        </w:rPr>
        <w:t>ano</w:t>
      </w:r>
      <w:r>
        <w:rPr>
          <w:rFonts w:ascii="Verdana" w:hAnsi="Verdana"/>
          <w:b w:val="false"/>
          <w:bCs w:val="false"/>
          <w:i w:val="false"/>
          <w:iCs w:val="false"/>
          <w:sz w:val="20"/>
          <w:szCs w:val="20"/>
        </w:rPr>
        <w:t>, podendo ou não a secretaria requisitar a entrega do material dependendo da demanda.</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5.4. Não transferir a outrem o objeto estabelecido neste TR, sem prévia e expressa anuência do contratante;</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5.5. Manter, durante o período de vigência do contrato, todas as condições que enseiaram contratação, particularmente no que tange à regularidade fiscal, tributária, trabalhista e qualificação técnica;</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5.6.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5.7. Substituir no todo ou em parte do objeto deste termo que for entregue fora das especificações e/ou que apresentem defeitos, devendo fazê-lo no prazo determinado pela Secretaria requisitante, sem ônus para o Município de São Gabriel da Palha ES.</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5.8. Substituir o produto que quando do seu uso ficar constatado que o mesmo não possui qualidade;</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5.9.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5.10. Fornecer todos os produtos com garantia de acordo com as exigências do Código de Defesa do Consumidor.</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5.11. Manter seus dados atualizados perante a Contratada, fazendo comunicar eventuais alterações de representantes, fiscais de contrato, endereços, contatos e demais informações necessárias à execução do contrato.</w:t>
      </w:r>
    </w:p>
    <w:p>
      <w:pPr>
        <w:pStyle w:val="ListParagraph"/>
        <w:widowControl/>
        <w:tabs>
          <w:tab w:val="clear" w:pos="708"/>
          <w:tab w:val="left" w:pos="450" w:leader="none"/>
        </w:tabs>
        <w:suppressAutoHyphens w:val="false"/>
        <w:bidi w:val="0"/>
        <w:spacing w:lineRule="auto" w:line="360" w:before="57" w:after="57"/>
        <w:ind w:left="0" w:right="0"/>
        <w:contextualSpacing w:val="false"/>
        <w:jc w:val="both"/>
        <w:rPr>
          <w:rFonts w:ascii="Verdana" w:hAnsi="Verdana" w:eastAsia="Times New Roman" w:cs="Arial"/>
          <w:b w:val="false"/>
          <w:bCs w:val="false"/>
          <w:i w:val="false"/>
          <w:i w:val="false"/>
          <w:iCs w:val="false"/>
          <w:color w:val="auto"/>
          <w:kern w:val="0"/>
          <w:sz w:val="20"/>
          <w:szCs w:val="20"/>
          <w:lang w:val="pt-BR" w:eastAsia="pt-BR" w:bidi="ar-SA"/>
        </w:rPr>
      </w:pPr>
      <w:r>
        <w:rPr>
          <w:rFonts w:eastAsia="Times New Roman" w:cs="Arial" w:ascii="Verdana" w:hAnsi="Verdana"/>
          <w:b w:val="false"/>
          <w:bCs w:val="false"/>
          <w:i w:val="false"/>
          <w:iCs w:val="false"/>
          <w:color w:val="auto"/>
          <w:kern w:val="0"/>
          <w:sz w:val="20"/>
          <w:szCs w:val="20"/>
          <w:lang w:val="pt-BR" w:eastAsia="pt-BR" w:bidi="ar-SA"/>
        </w:rPr>
        <w:t>5.15. Não haverá exigência da garantia da aquisição dos arts. 96 e seguintes da Lei nº 14.133/21.</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ivel1"/>
        <w:suppressAutoHyphens w:val="true"/>
        <w:spacing w:lineRule="auto" w:line="360" w:before="57" w:after="57"/>
        <w:ind w:hanging="0" w:left="0" w:right="0"/>
        <w:rPr>
          <w:rFonts w:ascii="Verdana" w:hAnsi="Verdana"/>
          <w:sz w:val="20"/>
          <w:szCs w:val="20"/>
        </w:rPr>
      </w:pPr>
      <w:r>
        <w:rPr>
          <w:rFonts w:ascii="Verdana" w:hAnsi="Verdana"/>
          <w:i w:val="false"/>
          <w:iCs w:val="false"/>
          <w:sz w:val="20"/>
          <w:szCs w:val="20"/>
        </w:rPr>
        <w:t>6. ENTREGA E CRITÉRIOS DE ACEITAÇÃO DO OBJETO.</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.1.</w:t>
      </w:r>
      <w:r>
        <w:rPr>
          <w:rFonts w:cs="Arial" w:ascii="Verdana" w:hAnsi="Verdana"/>
          <w:sz w:val="20"/>
          <w:szCs w:val="20"/>
        </w:rPr>
        <w:t xml:space="preserve"> Os equipamentos deverão ser entregues no Almoxarifado da Atenção Básica com localizaçã</w:t>
      </w:r>
      <w:r>
        <w:rPr>
          <w:rFonts w:cs="Arial" w:ascii="Verdana" w:hAnsi="Verdana"/>
          <w:sz w:val="20"/>
          <w:szCs w:val="20"/>
          <w:lang w:val="pt-BR"/>
        </w:rPr>
        <w:t>o na sede do Município</w:t>
      </w:r>
      <w:r>
        <w:rPr>
          <w:rFonts w:cs="Arial" w:ascii="Verdana" w:hAnsi="Verdana"/>
          <w:sz w:val="20"/>
          <w:szCs w:val="20"/>
        </w:rPr>
        <w:t>, de segunda à quinta feira das 07</w:t>
      </w:r>
      <w:r>
        <w:rPr>
          <w:rFonts w:cs="Arial" w:ascii="Verdana" w:hAnsi="Verdana"/>
          <w:sz w:val="20"/>
          <w:szCs w:val="20"/>
          <w:lang w:val="pt-BR"/>
        </w:rPr>
        <w:t>h</w:t>
      </w:r>
      <w:r>
        <w:rPr>
          <w:rFonts w:cs="Arial" w:ascii="Verdana" w:hAnsi="Verdana"/>
          <w:sz w:val="20"/>
          <w:szCs w:val="20"/>
        </w:rPr>
        <w:t xml:space="preserve"> às 16h, e na sexta feira de 7:00hs da manha até as 13 horas da tarde,  observando os dias de funcionament</w:t>
      </w:r>
      <w:r>
        <w:rPr>
          <w:rFonts w:cs="Arial" w:ascii="Verdana" w:hAnsi="Verdana"/>
          <w:sz w:val="20"/>
          <w:szCs w:val="20"/>
          <w:lang w:val="pt-BR"/>
        </w:rPr>
        <w:t xml:space="preserve">o, </w:t>
      </w:r>
      <w:r>
        <w:rPr>
          <w:rFonts w:cs="Arial" w:ascii="Verdana" w:hAnsi="Verdana"/>
          <w:sz w:val="20"/>
          <w:szCs w:val="20"/>
        </w:rPr>
        <w:t xml:space="preserve">juntamente com a Nota Fiscal, pelo prazo de 30 (trinta) </w:t>
      </w:r>
      <w:r>
        <w:rPr>
          <w:rFonts w:cs="Arial" w:ascii="Verdana" w:hAnsi="Verdana"/>
          <w:b/>
          <w:bCs/>
          <w:sz w:val="20"/>
          <w:szCs w:val="20"/>
        </w:rPr>
        <w:t xml:space="preserve"> dias </w:t>
      </w:r>
      <w:r>
        <w:rPr>
          <w:rFonts w:cs="Arial" w:ascii="Verdana" w:hAnsi="Verdana"/>
          <w:sz w:val="20"/>
          <w:szCs w:val="20"/>
        </w:rPr>
        <w:t xml:space="preserve">a contar do recebimento da Autorização de Fornecimento, emitida pelo Departamento </w:t>
      </w:r>
      <w:r>
        <w:rPr>
          <w:rFonts w:cs="Arial" w:ascii="Verdana" w:hAnsi="Verdana"/>
          <w:sz w:val="20"/>
          <w:szCs w:val="20"/>
          <w:lang w:val="pt-BR"/>
        </w:rPr>
        <w:t>de Compras da Secretaria Municipal de Saúde.</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.2.</w:t>
      </w:r>
      <w:r>
        <w:rPr>
          <w:rFonts w:cs="Arial" w:ascii="Verdana" w:hAnsi="Verdana"/>
          <w:sz w:val="20"/>
          <w:szCs w:val="20"/>
        </w:rPr>
        <w:t xml:space="preserve"> A entrega deverá ocorrer sem qualquer ônus adicional, bem como a descarga e todas as demais despesas provenientes da mesma, previamente agendada com a Secretaria Municipal de Saúde.</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.3.</w:t>
      </w:r>
      <w:r>
        <w:rPr>
          <w:rFonts w:cs="Arial" w:ascii="Verdana" w:hAnsi="Verdana"/>
          <w:sz w:val="20"/>
          <w:szCs w:val="20"/>
        </w:rPr>
        <w:t xml:space="preserve"> A CONTRATADA garantirá a qualidade do produto obrigando-se a repor aquele que apresentar defeito ou for entregue em desacordo com o apresentado na proposta; </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4.</w:t>
      </w:r>
      <w:r>
        <w:rPr>
          <w:rFonts w:cs="Arial" w:ascii="Verdana" w:hAnsi="Verdana"/>
          <w:sz w:val="20"/>
          <w:szCs w:val="20"/>
        </w:rPr>
        <w:t xml:space="preserve"> O recebimento </w:t>
      </w:r>
      <w:r>
        <w:rPr>
          <w:rFonts w:cs="Arial" w:ascii="Verdana" w:hAnsi="Verdana"/>
          <w:b/>
          <w:sz w:val="20"/>
          <w:szCs w:val="20"/>
        </w:rPr>
        <w:t>provisório</w:t>
      </w:r>
      <w:r>
        <w:rPr>
          <w:rFonts w:cs="Arial" w:ascii="Verdana" w:hAnsi="Verdana"/>
          <w:sz w:val="20"/>
          <w:szCs w:val="20"/>
        </w:rPr>
        <w:t xml:space="preserve"> do equipamento entregue dar-se-á pela conferência com a descrição constante da ordem de fornecimento;</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5.</w:t>
      </w:r>
      <w:r>
        <w:rPr>
          <w:rFonts w:cs="Arial" w:ascii="Verdana" w:hAnsi="Verdana"/>
          <w:sz w:val="20"/>
          <w:szCs w:val="20"/>
        </w:rPr>
        <w:t xml:space="preserve"> O recebimento </w:t>
      </w:r>
      <w:r>
        <w:rPr>
          <w:rFonts w:cs="Arial" w:ascii="Verdana" w:hAnsi="Verdana"/>
          <w:b/>
          <w:sz w:val="20"/>
          <w:szCs w:val="20"/>
        </w:rPr>
        <w:t>definitivo</w:t>
      </w:r>
      <w:r>
        <w:rPr>
          <w:rFonts w:cs="Arial" w:ascii="Verdana" w:hAnsi="Verdana"/>
          <w:sz w:val="20"/>
          <w:szCs w:val="20"/>
        </w:rPr>
        <w:t xml:space="preserve"> ocorrerá com a verificação integral das características do produto fornecido pela CONTRATADA;</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6.</w:t>
      </w:r>
      <w:r>
        <w:rPr>
          <w:rFonts w:cs="Arial" w:ascii="Verdana" w:hAnsi="Verdana"/>
          <w:sz w:val="20"/>
          <w:szCs w:val="20"/>
        </w:rPr>
        <w:t xml:space="preserve"> O recebimento definitivo não isenta a CONTRATADA de responsabilidades futuras quanto à qualidade dos fornecimentos e serviços prestados.</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6</w:t>
      </w:r>
      <w:r>
        <w:rPr>
          <w:rFonts w:cs="Arial" w:ascii="Verdana" w:hAnsi="Verdana"/>
          <w:b/>
          <w:sz w:val="20"/>
          <w:szCs w:val="20"/>
        </w:rPr>
        <w:t>.</w:t>
      </w:r>
      <w:r>
        <w:rPr>
          <w:rFonts w:cs="Arial" w:ascii="Verdana" w:hAnsi="Verdana"/>
          <w:b/>
          <w:sz w:val="20"/>
          <w:szCs w:val="20"/>
          <w:lang w:val="pt-BR"/>
        </w:rPr>
        <w:t>7.</w:t>
      </w:r>
      <w:r>
        <w:rPr>
          <w:rFonts w:cs="Arial" w:ascii="Verdana" w:hAnsi="Verdana"/>
          <w:sz w:val="20"/>
          <w:szCs w:val="20"/>
        </w:rPr>
        <w:t xml:space="preserve"> O recebimento provisório do equipamento não implica aceitação dos mesmos;</w:t>
      </w:r>
    </w:p>
    <w:p>
      <w:pPr>
        <w:pStyle w:val="Normal"/>
        <w:spacing w:lineRule="auto" w:line="360" w:before="57" w:after="57"/>
        <w:ind w:hanging="0" w:left="0" w:right="0"/>
        <w:jc w:val="both"/>
        <w:rPr>
          <w:rFonts w:ascii="Verdana" w:hAnsi="Verdana"/>
          <w:sz w:val="20"/>
          <w:szCs w:val="20"/>
        </w:rPr>
      </w:pPr>
      <w:r>
        <w:rPr>
          <w:rFonts w:cs="Arial" w:ascii="Verdana" w:hAnsi="Verdana"/>
          <w:b/>
          <w:bCs w:val="false"/>
          <w:i w:val="false"/>
          <w:iCs w:val="false"/>
          <w:color w:val="000000"/>
          <w:sz w:val="20"/>
          <w:szCs w:val="20"/>
          <w:lang w:val="pt-BR"/>
        </w:rPr>
        <w:t>6</w:t>
      </w:r>
      <w:r>
        <w:rPr>
          <w:rFonts w:cs="Arial" w:ascii="Verdana" w:hAnsi="Verdana"/>
          <w:b/>
          <w:bCs w:val="false"/>
          <w:i w:val="false"/>
          <w:iCs w:val="false"/>
          <w:color w:val="000000"/>
          <w:sz w:val="20"/>
          <w:szCs w:val="20"/>
        </w:rPr>
        <w:t>.</w:t>
      </w:r>
      <w:r>
        <w:rPr>
          <w:rFonts w:cs="Arial" w:ascii="Verdana" w:hAnsi="Verdana"/>
          <w:b/>
          <w:bCs w:val="false"/>
          <w:i w:val="false"/>
          <w:iCs w:val="false"/>
          <w:color w:val="000000"/>
          <w:sz w:val="20"/>
          <w:szCs w:val="20"/>
          <w:lang w:val="pt-BR"/>
        </w:rPr>
        <w:t xml:space="preserve">8. </w:t>
      </w:r>
      <w:r>
        <w:rPr>
          <w:rFonts w:cs="Arial" w:ascii="Verdana" w:hAnsi="Verdana"/>
          <w:b w:val="false"/>
          <w:bCs w:val="false"/>
          <w:i w:val="false"/>
          <w:iCs w:val="false"/>
          <w:color w:val="000000"/>
          <w:sz w:val="20"/>
          <w:szCs w:val="20"/>
        </w:rPr>
        <w:t xml:space="preserve"> Havendo erro na Nota Fiscal ou outra circunstância impeditiva, o recebimento definitivo será suspenso, até que a empresa tome as medidas saneadoras necessárias;</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6.9.</w:t>
      </w:r>
      <w:r>
        <w:rPr>
          <w:rFonts w:cs="Arial" w:ascii="Verdana" w:hAnsi="Verdana"/>
          <w:b w:val="false"/>
          <w:bCs w:val="false"/>
          <w:i w:val="false"/>
          <w:iCs w:val="false"/>
          <w:color w:val="000000"/>
          <w:sz w:val="20"/>
          <w:szCs w:val="20"/>
          <w:shd w:fill="auto" w:val="clear"/>
        </w:rPr>
        <w:t xml:space="preserve"> Todo material solicitado deve vir devidamente identificados contendo: Garantia do produto, nome empresa Fabricante do produto.</w:t>
      </w:r>
    </w:p>
    <w:p>
      <w:pPr>
        <w:pStyle w:val="Normal"/>
        <w:spacing w:lineRule="auto" w:line="360" w:before="57" w:after="57"/>
        <w:ind w:left="0"/>
        <w:jc w:val="both"/>
        <w:rPr>
          <w:rFonts w:ascii="Verdana" w:hAnsi="Verdana"/>
          <w:sz w:val="20"/>
          <w:szCs w:val="20"/>
        </w:rPr>
      </w:pPr>
      <w:r>
        <w:rPr>
          <w:rFonts w:cs="Arial" w:ascii="Verdana" w:hAnsi="Verdana"/>
          <w:b/>
          <w:sz w:val="20"/>
          <w:szCs w:val="20"/>
          <w:lang w:val="pt-BR"/>
        </w:rPr>
        <w:t>-</w:t>
      </w:r>
      <w:r>
        <w:rPr>
          <w:rFonts w:cs="Arial" w:ascii="Verdana" w:hAnsi="Verdana"/>
          <w:b/>
          <w:sz w:val="20"/>
          <w:szCs w:val="20"/>
        </w:rPr>
        <w:t xml:space="preserve"> CONTATO</w:t>
      </w:r>
    </w:p>
    <w:p>
      <w:pPr>
        <w:pStyle w:val="Normal"/>
        <w:spacing w:lineRule="auto" w:line="360" w:before="57" w:after="57"/>
        <w:ind w:left="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27 9 9740 8895</w:t>
      </w:r>
    </w:p>
    <w:p>
      <w:pPr>
        <w:pStyle w:val="Normal"/>
        <w:spacing w:lineRule="auto" w:line="360" w:before="57" w:after="57"/>
        <w:ind w:left="0"/>
        <w:jc w:val="both"/>
        <w:rPr>
          <w:rFonts w:ascii="Verdana" w:hAnsi="Verdana"/>
          <w:sz w:val="20"/>
          <w:szCs w:val="20"/>
        </w:rPr>
      </w:pPr>
      <w:r>
        <w:rPr>
          <w:rFonts w:cs="Arial" w:ascii="Verdana" w:hAnsi="Verdana"/>
          <w:b/>
          <w:sz w:val="20"/>
          <w:szCs w:val="20"/>
        </w:rPr>
        <w:t xml:space="preserve">Email: </w:t>
      </w:r>
      <w:r>
        <w:rPr>
          <w:rFonts w:cs="Arial" w:ascii="Verdana" w:hAnsi="Verdana"/>
          <w:b w:val="false"/>
          <w:bCs w:val="false"/>
          <w:sz w:val="20"/>
          <w:szCs w:val="20"/>
          <w:lang w:val="pt-BR"/>
        </w:rPr>
        <w:t>setorcomprassgp</w:t>
      </w:r>
      <w:r>
        <w:rPr>
          <w:rFonts w:cs="Arial" w:ascii="Verdana" w:hAnsi="Verdana"/>
          <w:sz w:val="20"/>
          <w:szCs w:val="20"/>
        </w:rPr>
        <w:t>@gmail.com</w:t>
      </w:r>
    </w:p>
    <w:p>
      <w:pPr>
        <w:pStyle w:val="Normal"/>
        <w:spacing w:lineRule="auto" w:line="360" w:before="57" w:after="57"/>
        <w:ind w:hanging="0" w:left="0" w:right="0"/>
        <w:jc w:val="both"/>
        <w:rPr>
          <w:rFonts w:ascii="Verdana" w:hAnsi="Verdana"/>
          <w:sz w:val="20"/>
          <w:szCs w:val="20"/>
        </w:rPr>
      </w:pPr>
      <w:r>
        <w:rPr>
          <w:rFonts w:cs="Arial" w:ascii="Verdana" w:hAnsi="Verdana"/>
          <w:b/>
          <w:bCs w:val="false"/>
          <w:i w:val="false"/>
          <w:iCs w:val="false"/>
          <w:color w:val="000000"/>
          <w:sz w:val="20"/>
          <w:szCs w:val="20"/>
        </w:rPr>
        <w:t xml:space="preserve">Responsável: </w:t>
      </w:r>
      <w:r>
        <w:rPr>
          <w:rFonts w:cs="Arial" w:ascii="Verdana" w:hAnsi="Verdana"/>
          <w:b w:val="false"/>
          <w:bCs w:val="false"/>
          <w:i w:val="false"/>
          <w:iCs w:val="false"/>
          <w:color w:val="000000"/>
          <w:sz w:val="20"/>
          <w:szCs w:val="20"/>
        </w:rPr>
        <w:t>Secretaria Municipal de Saúde</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jc w:val="both"/>
        <w:rPr>
          <w:rFonts w:ascii="Verdana" w:hAnsi="Verdana"/>
          <w:sz w:val="20"/>
          <w:szCs w:val="20"/>
        </w:rPr>
      </w:pPr>
      <w:r>
        <w:rPr>
          <w:rFonts w:cs="Arial" w:ascii="Verdana" w:hAnsi="Verdana"/>
          <w:b/>
          <w:bCs/>
          <w:i w:val="false"/>
          <w:iCs w:val="false"/>
          <w:color w:val="000000"/>
          <w:sz w:val="20"/>
          <w:szCs w:val="20"/>
        </w:rPr>
        <w:t>7. OBRIGAÇÕES DA CONTRATANTE</w:t>
      </w:r>
    </w:p>
    <w:p>
      <w:pPr>
        <w:pStyle w:val="Normal"/>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Receber os equipamentos no prazo e condições estabelecidas neste Termo de Referência e seus anexos.</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7.2. </w:t>
      </w:r>
      <w:bookmarkStart w:id="4" w:name="page68R_mcid7"/>
      <w:r>
        <w:rPr>
          <w:rFonts w:cs="Arial" w:ascii="Verdana" w:hAnsi="Verdana"/>
          <w:b w:val="false"/>
          <w:bCs w:val="false"/>
          <w:i w:val="false"/>
          <w:iCs w:val="false"/>
          <w:color w:val="000000"/>
          <w:sz w:val="20"/>
          <w:szCs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7.4. Acompanhar e fiscalizar o cumprimento das obrigações da Contratada, através </w:t>
      </w:r>
      <w:r>
        <w:rPr>
          <w:rFonts w:cs="Arial" w:ascii="Verdana" w:hAnsi="Verdana"/>
          <w:b w:val="false"/>
          <w:bCs w:val="false"/>
          <w:i w:val="false"/>
          <w:iCs w:val="false"/>
          <w:color w:val="000000"/>
          <w:sz w:val="20"/>
          <w:szCs w:val="20"/>
          <w:u w:val="none"/>
        </w:rPr>
        <w:t>do setor responsável.</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7.5. Efetuar o pagamento à Contratada no valor correspondente ao fornecimento das impressoras no prazo e forma estabelecidos neste TR e seus anexos.</w:t>
      </w:r>
    </w:p>
    <w:p>
      <w:pPr>
        <w:pStyle w:val="Normal"/>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20"/>
          <w:szCs w:val="20"/>
        </w:rPr>
        <w:t>Ata de Registro de Preços</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jc w:val="both"/>
        <w:rPr>
          <w:rFonts w:ascii="Verdana" w:hAnsi="Verdana"/>
          <w:sz w:val="20"/>
          <w:szCs w:val="20"/>
        </w:rPr>
      </w:pPr>
      <w:r>
        <w:rPr>
          <w:rFonts w:cs="Arial" w:ascii="Verdana" w:hAnsi="Verdana"/>
          <w:b/>
          <w:bCs/>
          <w:i w:val="false"/>
          <w:iCs w:val="false"/>
          <w:color w:val="000000"/>
          <w:sz w:val="20"/>
          <w:szCs w:val="20"/>
        </w:rPr>
        <w:t>8. OBRIGAÇÕES DA CONTRATADA</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8.2. Efetuar a entrega dos equipamentos em perfeitas condições, conforme especificações, prazo e local constantes no Termo de Referência e seus anexos, acompanhado da respectiva nota fiscal, na qual constarão as indicações referentes a: marca, fabricante, modelo e garantia do equipamento.</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8.3. Responsabilizar-se pelos vícios e danos decorrentes do objeto, de acordo com os artigos 12, 13 e 17 a 27, do Código de Defesa do Consumidor (Lei nº 8.078, de 1990).</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8.4. Substituir, reparar ou corrigir, às suas expensas, no prazo fixado neste Termo de Referência, o objeto com avarias ou defeitos.</w:t>
      </w:r>
    </w:p>
    <w:p>
      <w:pPr>
        <w:pStyle w:val="Normal"/>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8.5. </w:t>
      </w:r>
      <w:r>
        <w:rPr>
          <w:rFonts w:cs="Arial" w:ascii="Verdana" w:hAnsi="Verdana"/>
          <w:b w:val="false"/>
          <w:bCs w:val="false"/>
          <w:i w:val="false"/>
          <w:iCs w:val="false"/>
          <w:color w:val="000000"/>
          <w:sz w:val="20"/>
          <w:szCs w:val="20"/>
        </w:rPr>
        <w:t>Comunicar à Contratante, no prazo máximo de 05 (cinco) dias que antecede a data da entrega, os motivos que impossibilitem o cumprimento do prazo previsto, com a devida comprovação.</w:t>
      </w:r>
    </w:p>
    <w:p>
      <w:pPr>
        <w:pStyle w:val="Normal"/>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a ata de registro de preços</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8.8. </w:t>
      </w:r>
      <w:r>
        <w:rPr>
          <w:rFonts w:cs="Arial" w:ascii="Verdana" w:hAnsi="Verdana"/>
          <w:b w:val="false"/>
          <w:bCs w:val="false"/>
          <w:i w:val="false"/>
          <w:iCs w:val="false"/>
          <w:color w:val="000000"/>
          <w:sz w:val="20"/>
          <w:szCs w:val="20"/>
        </w:rPr>
        <w:t xml:space="preserve">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8.9.Durante a execução da ata de registro de preços, 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deverá:</w:t>
      </w:r>
      <w:r>
        <w:rPr>
          <w:rFonts w:ascii="Verdana" w:hAnsi="Verdana"/>
          <w:sz w:val="20"/>
          <w:szCs w:val="20"/>
        </w:rPr>
        <w:br/>
      </w:r>
      <w:r>
        <w:rPr>
          <w:rFonts w:eastAsia="Times New Roman" w:cs="Arial" w:ascii="Verdana" w:hAnsi="Verdana"/>
          <w:b w:val="false"/>
          <w:bCs w:val="false"/>
          <w:i w:val="false"/>
          <w:iCs w:val="false"/>
          <w:color w:val="000000"/>
          <w:sz w:val="20"/>
          <w:szCs w:val="20"/>
        </w:rPr>
        <w:t>8.9.1.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sz w:val="20"/>
          <w:szCs w:val="20"/>
        </w:rPr>
        <w:t xml:space="preserve">da secretaria </w:t>
      </w:r>
      <w:r>
        <w:rPr>
          <w:rFonts w:cs="Arial" w:ascii="Verdana" w:hAnsi="Verdana"/>
          <w:b w:val="false"/>
          <w:bCs w:val="false"/>
          <w:i w:val="false"/>
          <w:iCs w:val="false"/>
          <w:color w:val="000000"/>
          <w:sz w:val="20"/>
          <w:szCs w:val="20"/>
        </w:rPr>
        <w:t xml:space="preserve">no fornecimento </w:t>
      </w:r>
      <w:r>
        <w:rPr>
          <w:rFonts w:eastAsia="Times New Roman" w:cs="Arial" w:ascii="Verdana" w:hAnsi="Verdana"/>
          <w:b w:val="false"/>
          <w:bCs w:val="false"/>
          <w:i w:val="false"/>
          <w:iCs w:val="false"/>
          <w:color w:val="000000"/>
          <w:sz w:val="20"/>
          <w:szCs w:val="20"/>
        </w:rPr>
        <w:t>dos equipamentos</w:t>
      </w:r>
      <w:r>
        <w:rPr>
          <w:rFonts w:cs="Arial" w:ascii="Verdana" w:hAnsi="Verdana"/>
          <w:b w:val="false"/>
          <w:bCs w:val="false"/>
          <w:i w:val="false"/>
          <w:iCs w:val="false"/>
          <w:color w:val="000000"/>
          <w:sz w:val="20"/>
          <w:szCs w:val="20"/>
        </w:rPr>
        <w:t xml:space="preserve"> nas quantidades e especificações deste </w:t>
      </w:r>
      <w:r>
        <w:rPr>
          <w:rFonts w:eastAsia="Times New Roman" w:cs="Arial" w:ascii="Verdana" w:hAnsi="Verdana"/>
          <w:b w:val="false"/>
          <w:bCs w:val="false"/>
          <w:i w:val="false"/>
          <w:iCs w:val="false"/>
          <w:color w:val="000000"/>
          <w:sz w:val="20"/>
          <w:szCs w:val="20"/>
        </w:rPr>
        <w:t>termo de referência.</w:t>
      </w:r>
    </w:p>
    <w:p>
      <w:pPr>
        <w:pStyle w:val="Normal"/>
        <w:tabs>
          <w:tab w:val="clear" w:pos="708"/>
          <w:tab w:val="left" w:pos="0" w:leader="none"/>
        </w:tabs>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2. Entregar os equipamentos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360"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8.9.3. </w:t>
      </w:r>
      <w:r>
        <w:rPr>
          <w:rFonts w:cs="Arial" w:ascii="Verdana" w:hAnsi="Verdana"/>
          <w:b w:val="false"/>
          <w:bCs w:val="false"/>
          <w:i w:val="false"/>
          <w:iCs w:val="false"/>
          <w:color w:val="000000"/>
          <w:sz w:val="20"/>
          <w:szCs w:val="20"/>
        </w:rPr>
        <w:t>A nota fiscal deverá ser acompanhada pelas Certidões de Regularidades Fiscais.</w:t>
      </w:r>
      <w:r>
        <w:rPr>
          <w:rFonts w:ascii="Verdana" w:hAnsi="Verdana"/>
          <w:sz w:val="20"/>
          <w:szCs w:val="20"/>
        </w:rPr>
        <w:br/>
      </w:r>
      <w:r>
        <w:rPr>
          <w:rFonts w:eastAsia="Times New Roman" w:cs="Arial" w:ascii="Verdana" w:hAnsi="Verdana"/>
          <w:b w:val="false"/>
          <w:bCs w:val="false"/>
          <w:i w:val="false"/>
          <w:iCs w:val="false"/>
          <w:color w:val="000000"/>
          <w:sz w:val="20"/>
          <w:szCs w:val="20"/>
        </w:rPr>
        <w:t xml:space="preserve">8.9.4. </w:t>
      </w:r>
      <w:bookmarkStart w:id="6" w:name="_GoBack1111"/>
      <w:r>
        <w:rPr>
          <w:rFonts w:cs="Arial" w:ascii="Verdana" w:hAnsi="Verdana"/>
          <w:b w:val="false"/>
          <w:bCs w:val="false"/>
          <w:i w:val="false"/>
          <w:iCs w:val="false"/>
          <w:color w:val="000000"/>
          <w:sz w:val="20"/>
          <w:szCs w:val="20"/>
        </w:rPr>
        <w:t>Substituir quaisquer objeto que não esteja dentro do padrão de qualidade, em bom estado de conservação, que apresente defeito ou não esteja em conformidade com as especificações da proposta apresentada.</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jc w:val="both"/>
        <w:rPr>
          <w:rFonts w:ascii="Verdana" w:hAnsi="Verdana"/>
          <w:sz w:val="20"/>
          <w:szCs w:val="20"/>
        </w:rPr>
      </w:pPr>
      <w:r>
        <w:rPr>
          <w:rFonts w:cs="Arial" w:ascii="Verdana" w:hAnsi="Verdana"/>
          <w:b/>
          <w:bCs/>
          <w:i w:val="false"/>
          <w:iCs w:val="false"/>
          <w:color w:val="000000"/>
          <w:sz w:val="20"/>
          <w:szCs w:val="20"/>
        </w:rPr>
        <w:t>9. DO CONTROLE E FISCALIZAÇÃO DA EXECUÇÃO</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9.1. A fiscalização será realizado pelo Almoxarifado da Secretaria Municipal de Saúde para acompanhar e fiscalizar a entrega dos equipamentos, anotando em registro próprio todas as ocorrências relacionadas com a execução e determinando o que for necessário à regularização de falhas ou defeitos observados.</w:t>
      </w:r>
    </w:p>
    <w:p>
      <w:pPr>
        <w:pStyle w:val="Normal"/>
        <w:spacing w:lineRule="auto" w:line="360"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jc w:val="both"/>
        <w:rPr>
          <w:rFonts w:ascii="Verdana" w:hAnsi="Verdana"/>
          <w:sz w:val="20"/>
          <w:szCs w:val="20"/>
        </w:rPr>
      </w:pPr>
      <w:r>
        <w:rPr>
          <w:rFonts w:ascii="Verdana" w:hAnsi="Verdana"/>
          <w:b/>
          <w:bCs/>
          <w:sz w:val="20"/>
          <w:szCs w:val="20"/>
        </w:rPr>
        <w:t>10. CRITÉRIOS DE PAGAMENTO</w:t>
      </w:r>
    </w:p>
    <w:p>
      <w:pPr>
        <w:pStyle w:val="Normal"/>
        <w:spacing w:lineRule="auto" w:line="360" w:before="57" w:after="57"/>
        <w:ind w:hanging="0" w:left="0" w:right="0"/>
        <w:jc w:val="both"/>
        <w:rPr>
          <w:rFonts w:ascii="Verdana" w:hAnsi="Verdana"/>
          <w:sz w:val="20"/>
          <w:szCs w:val="20"/>
        </w:rPr>
      </w:pPr>
      <w:r>
        <w:rPr>
          <w:rFonts w:ascii="Verdana" w:hAnsi="Verdana"/>
          <w:b w:val="false"/>
          <w:bCs w:val="false"/>
          <w:sz w:val="20"/>
          <w:szCs w:val="20"/>
          <w:lang w:eastAsia="en-US"/>
        </w:rPr>
        <w:t xml:space="preserve">10.1. Recebida a Nota Fiscal ou documento de cobrança equivalente, correrá o prazo de </w:t>
      </w:r>
      <w:r>
        <w:rPr>
          <w:rFonts w:eastAsia="Times New Roman" w:cs="Times New Roman" w:ascii="Verdana" w:hAnsi="Verdana"/>
          <w:b w:val="false"/>
          <w:bCs w:val="false"/>
          <w:sz w:val="20"/>
          <w:szCs w:val="20"/>
          <w:lang w:eastAsia="en-US"/>
        </w:rPr>
        <w:t>(30) trinta</w:t>
      </w:r>
      <w:r>
        <w:rPr>
          <w:rFonts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360" w:before="57" w:after="57"/>
        <w:ind w:hanging="0" w:left="0" w:right="0"/>
        <w:jc w:val="both"/>
        <w:rPr/>
      </w:pPr>
      <w:r>
        <w:rPr>
          <w:rFonts w:ascii="Verdana" w:hAnsi="Verdana"/>
          <w:b w:val="false"/>
          <w:bCs w:val="false"/>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
          <w:sz w:val="20"/>
          <w:u w:val="none"/>
          <w:b w:val="false"/>
          <w:szCs w:val="20"/>
          <w:bCs w:val="false"/>
          <w:rFonts w:ascii="Verdana" w:hAnsi="Verdana"/>
          <w:color w:val="000000"/>
        </w:rPr>
        <w:instrText xml:space="preserve"> HYPERLINK "http://www.planalto.gov.br/ccivil_03/_ato2019-2022/2021/lei/L14133.htm" \l "art75"</w:instrText>
      </w:r>
      <w:r>
        <w:rPr>
          <w:rStyle w:val="ListLabel1"/>
          <w:sz w:val="20"/>
          <w:u w:val="none"/>
          <w:b w:val="false"/>
          <w:szCs w:val="20"/>
          <w:bCs w:val="false"/>
          <w:rFonts w:ascii="Verdana" w:hAnsi="Verdana"/>
          <w:color w:val="000000"/>
        </w:rPr>
        <w:fldChar w:fldCharType="separate"/>
      </w:r>
      <w:r>
        <w:rPr>
          <w:rStyle w:val="ListLabel1"/>
          <w:rFonts w:ascii="Verdana" w:hAnsi="Verdana"/>
          <w:b w:val="false"/>
          <w:bCs w:val="false"/>
          <w:color w:val="000000"/>
          <w:sz w:val="20"/>
          <w:szCs w:val="20"/>
          <w:u w:val="none"/>
        </w:rPr>
        <w:t>inciso II do art. 75 da Lei nº 14.133, de 2021</w:t>
      </w:r>
      <w:r>
        <w:rPr>
          <w:rStyle w:val="ListLabel1"/>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360" w:before="57" w:after="57"/>
        <w:ind w:hanging="0" w:left="0" w:right="0"/>
        <w:jc w:val="both"/>
        <w:rPr>
          <w:rFonts w:ascii="Verdana" w:hAnsi="Verdana"/>
          <w:sz w:val="20"/>
          <w:szCs w:val="20"/>
        </w:rPr>
      </w:pPr>
      <w:r>
        <w:rPr>
          <w:rFonts w:ascii="Verdana" w:hAnsi="Verdana"/>
          <w:b w:val="false"/>
          <w:bCs w:val="false"/>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numPr>
          <w:ilvl w:val="0"/>
          <w:numId w:val="1"/>
        </w:numPr>
        <w:tabs>
          <w:tab w:val="clear" w:pos="708"/>
          <w:tab w:val="left" w:pos="563" w:leader="none"/>
        </w:tabs>
        <w:spacing w:lineRule="auto" w:line="360" w:before="57" w:after="57"/>
        <w:jc w:val="both"/>
        <w:rPr>
          <w:rFonts w:ascii="Verdana" w:hAnsi="Verdana"/>
          <w:sz w:val="20"/>
          <w:szCs w:val="20"/>
        </w:rPr>
      </w:pPr>
      <w:r>
        <w:rPr>
          <w:rFonts w:ascii="Verdana" w:hAnsi="Verdana"/>
          <w:b w:val="false"/>
          <w:bCs w:val="false"/>
          <w:sz w:val="20"/>
          <w:szCs w:val="20"/>
        </w:rPr>
        <w:t>O prazo de validade;</w:t>
      </w:r>
    </w:p>
    <w:p>
      <w:pPr>
        <w:pStyle w:val="Normal"/>
        <w:numPr>
          <w:ilvl w:val="0"/>
          <w:numId w:val="1"/>
        </w:numPr>
        <w:tabs>
          <w:tab w:val="clear" w:pos="708"/>
          <w:tab w:val="left" w:pos="563" w:leader="none"/>
        </w:tabs>
        <w:spacing w:lineRule="auto" w:line="360" w:before="57" w:after="57"/>
        <w:jc w:val="both"/>
        <w:rPr>
          <w:rFonts w:ascii="Verdana" w:hAnsi="Verdana"/>
          <w:sz w:val="20"/>
          <w:szCs w:val="20"/>
        </w:rPr>
      </w:pPr>
      <w:r>
        <w:rPr>
          <w:rFonts w:ascii="Verdana" w:hAnsi="Verdana"/>
          <w:b w:val="false"/>
          <w:bCs w:val="false"/>
          <w:sz w:val="20"/>
          <w:szCs w:val="20"/>
        </w:rPr>
        <w:t xml:space="preserve">A data da emissão; </w:t>
      </w:r>
    </w:p>
    <w:p>
      <w:pPr>
        <w:pStyle w:val="Normal"/>
        <w:numPr>
          <w:ilvl w:val="0"/>
          <w:numId w:val="1"/>
        </w:numPr>
        <w:tabs>
          <w:tab w:val="clear" w:pos="708"/>
          <w:tab w:val="left" w:pos="563" w:leader="none"/>
        </w:tabs>
        <w:spacing w:lineRule="auto" w:line="360" w:before="57" w:after="57"/>
        <w:jc w:val="both"/>
        <w:rPr>
          <w:rFonts w:ascii="Verdana" w:hAnsi="Verdana"/>
          <w:sz w:val="20"/>
          <w:szCs w:val="20"/>
        </w:rPr>
      </w:pPr>
      <w:r>
        <w:rPr>
          <w:rFonts w:ascii="Verdana" w:hAnsi="Verdana"/>
          <w:b w:val="false"/>
          <w:bCs w:val="false"/>
          <w:sz w:val="20"/>
          <w:szCs w:val="20"/>
        </w:rPr>
        <w:t xml:space="preserve">Os dados do contrato e do órgão contratante; </w:t>
      </w:r>
    </w:p>
    <w:p>
      <w:pPr>
        <w:pStyle w:val="Normal"/>
        <w:numPr>
          <w:ilvl w:val="0"/>
          <w:numId w:val="1"/>
        </w:numPr>
        <w:tabs>
          <w:tab w:val="clear" w:pos="708"/>
          <w:tab w:val="left" w:pos="563" w:leader="none"/>
        </w:tabs>
        <w:spacing w:lineRule="auto" w:line="360" w:before="57" w:after="57"/>
        <w:jc w:val="both"/>
        <w:rPr>
          <w:rFonts w:ascii="Verdana" w:hAnsi="Verdana"/>
          <w:sz w:val="20"/>
          <w:szCs w:val="20"/>
        </w:rPr>
      </w:pPr>
      <w:r>
        <w:rPr>
          <w:rFonts w:ascii="Verdana" w:hAnsi="Verdana"/>
          <w:b w:val="false"/>
          <w:bCs w:val="false"/>
          <w:sz w:val="20"/>
          <w:szCs w:val="20"/>
        </w:rPr>
        <w:t xml:space="preserve">O período respectivo de execução do contrato; </w:t>
      </w:r>
    </w:p>
    <w:p>
      <w:pPr>
        <w:pStyle w:val="Normal"/>
        <w:numPr>
          <w:ilvl w:val="0"/>
          <w:numId w:val="1"/>
        </w:numPr>
        <w:tabs>
          <w:tab w:val="clear" w:pos="708"/>
          <w:tab w:val="left" w:pos="563" w:leader="none"/>
        </w:tabs>
        <w:spacing w:lineRule="auto" w:line="360" w:before="57" w:after="57"/>
        <w:jc w:val="both"/>
        <w:rPr>
          <w:rFonts w:ascii="Verdana" w:hAnsi="Verdana"/>
          <w:sz w:val="20"/>
          <w:szCs w:val="20"/>
        </w:rPr>
      </w:pPr>
      <w:r>
        <w:rPr>
          <w:rFonts w:ascii="Verdana" w:hAnsi="Verdana"/>
          <w:b w:val="false"/>
          <w:bCs w:val="false"/>
          <w:sz w:val="20"/>
          <w:szCs w:val="20"/>
        </w:rPr>
        <w:t xml:space="preserve">O valor a pagar; e </w:t>
      </w:r>
    </w:p>
    <w:p>
      <w:pPr>
        <w:pStyle w:val="Normal"/>
        <w:numPr>
          <w:ilvl w:val="0"/>
          <w:numId w:val="1"/>
        </w:numPr>
        <w:tabs>
          <w:tab w:val="clear" w:pos="708"/>
          <w:tab w:val="left" w:pos="563" w:leader="none"/>
        </w:tabs>
        <w:spacing w:lineRule="auto" w:line="360" w:before="57" w:after="57"/>
        <w:jc w:val="both"/>
        <w:rPr>
          <w:rFonts w:ascii="Verdana" w:hAnsi="Verdana"/>
          <w:sz w:val="20"/>
          <w:szCs w:val="20"/>
        </w:rPr>
      </w:pPr>
      <w:r>
        <w:rPr>
          <w:rFonts w:ascii="Verdana" w:hAnsi="Verdana"/>
          <w:b w:val="false"/>
          <w:bCs w:val="false"/>
          <w:sz w:val="20"/>
          <w:szCs w:val="20"/>
        </w:rPr>
        <w:t>Eventual destaque do valor de retenções tributárias cabíveis.</w:t>
      </w:r>
    </w:p>
    <w:p>
      <w:pPr>
        <w:pStyle w:val="Normal"/>
        <w:tabs>
          <w:tab w:val="clear" w:pos="708"/>
          <w:tab w:val="left" w:pos="625" w:leader="none"/>
        </w:tabs>
        <w:spacing w:lineRule="auto" w:line="360" w:before="57" w:after="57"/>
        <w:ind w:hanging="0" w:left="0" w:right="0"/>
        <w:jc w:val="both"/>
        <w:rPr>
          <w:rFonts w:ascii="Verdana" w:hAnsi="Verdana"/>
          <w:sz w:val="20"/>
          <w:szCs w:val="20"/>
        </w:rPr>
      </w:pPr>
      <w:r>
        <w:rPr>
          <w:rFonts w:ascii="Verdana" w:hAnsi="Verdana"/>
          <w:b w:val="false"/>
          <w:bCs w:val="false"/>
          <w:sz w:val="20"/>
          <w:szCs w:val="20"/>
        </w:rPr>
        <w:t>10.4. Haven</w:t>
      </w:r>
      <w:r>
        <w:rPr>
          <w:rFonts w:ascii="Verdana" w:hAnsi="Verdana"/>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360" w:before="57" w:after="57"/>
        <w:ind w:hanging="0" w:left="0" w:right="0"/>
        <w:jc w:val="both"/>
        <w:rPr/>
      </w:pPr>
      <w:r>
        <w:rPr>
          <w:rFonts w:ascii="Verdana" w:hAnsi="Verdana"/>
          <w:b w:val="false"/>
          <w:bCs w:val="false"/>
          <w:sz w:val="20"/>
          <w:szCs w:val="20"/>
        </w:rPr>
        <w:t>10.5. A</w:t>
      </w:r>
      <w:r>
        <w:rPr>
          <w:rFonts w:ascii="Verdana" w:hAnsi="Verdana"/>
          <w:b w:val="false"/>
          <w:bCs w:val="false"/>
          <w:sz w:val="20"/>
          <w:szCs w:val="20"/>
          <w:lang w:eastAsia="en-US"/>
        </w:rPr>
        <w:t xml:space="preserve"> nota fisc</w:t>
      </w:r>
      <w:r>
        <w:rPr>
          <w:rFonts w:ascii="Verdana" w:hAnsi="Verdana"/>
          <w:sz w:val="20"/>
          <w:szCs w:val="20"/>
          <w:lang w:eastAsia="en-US"/>
        </w:rPr>
        <w:t>al ou instrumento de cobrança equivalente deverá ser obrigatoriamente acompanhado da comprovação da regularidade fiscal</w:t>
      </w:r>
      <w:r>
        <w:rPr>
          <w:rStyle w:val="InternetLink"/>
          <w:rFonts w:ascii="Verdana" w:hAnsi="Verdana"/>
          <w:sz w:val="20"/>
          <w:szCs w:val="20"/>
          <w:lang w:eastAsia="en-US"/>
        </w:rPr>
        <w:t>.</w:t>
      </w:r>
    </w:p>
    <w:p>
      <w:pPr>
        <w:pStyle w:val="Normal"/>
        <w:spacing w:lineRule="auto" w:line="360" w:before="57" w:after="57"/>
        <w:ind w:hanging="0" w:left="0" w:right="0"/>
        <w:jc w:val="both"/>
        <w:rPr>
          <w:rFonts w:ascii="Verdana" w:hAnsi="Verdana"/>
          <w:sz w:val="20"/>
          <w:szCs w:val="20"/>
        </w:rPr>
      </w:pPr>
      <w:r>
        <w:rPr>
          <w:rFonts w:ascii="Verdana" w:hAnsi="Verdana"/>
          <w:b w:val="false"/>
          <w:bCs w:val="false"/>
          <w:i w:val="false"/>
          <w:iCs w:val="false"/>
          <w:sz w:val="20"/>
          <w:szCs w:val="20"/>
        </w:rPr>
        <w:t>10.6. O pagamento será efetuado no prazo de até 30 (trinta) dias úteis contados da finalização da liquidação da despesa.</w:t>
      </w:r>
    </w:p>
    <w:p>
      <w:pPr>
        <w:pStyle w:val="Normal"/>
        <w:spacing w:lineRule="auto" w:line="360" w:before="57" w:after="57"/>
        <w:ind w:hanging="0" w:left="0" w:right="0"/>
        <w:jc w:val="both"/>
        <w:rPr>
          <w:rFonts w:ascii="Verdana" w:hAnsi="Verdana"/>
          <w:sz w:val="20"/>
          <w:szCs w:val="20"/>
        </w:rPr>
      </w:pPr>
      <w:r>
        <w:rPr>
          <w:rFonts w:ascii="Verdana" w:hAnsi="Verdana"/>
          <w:b w:val="false"/>
          <w:bCs w:val="false"/>
          <w:i w:val="false"/>
          <w:iCs w:val="false"/>
          <w:sz w:val="20"/>
          <w:szCs w:val="20"/>
        </w:rPr>
        <w:t>10.7. O pagamento será realizado por meio de ordem bancária, para crédito em banco, agência e conta correntes indicadas pelo contratado.</w:t>
      </w:r>
    </w:p>
    <w:p>
      <w:pPr>
        <w:pStyle w:val="Normal"/>
        <w:spacing w:lineRule="auto" w:line="360" w:before="57" w:after="57"/>
        <w:ind w:hanging="0" w:left="0" w:right="0"/>
        <w:jc w:val="both"/>
        <w:rPr>
          <w:rFonts w:ascii="Verdana" w:hAnsi="Verdana"/>
          <w:sz w:val="20"/>
          <w:szCs w:val="20"/>
        </w:rPr>
      </w:pPr>
      <w:r>
        <w:rPr>
          <w:rFonts w:ascii="Verdana" w:hAnsi="Verdana"/>
          <w:b w:val="false"/>
          <w:bCs w:val="false"/>
          <w:i w:val="false"/>
          <w:iCs w:val="false"/>
          <w:sz w:val="20"/>
          <w:szCs w:val="20"/>
        </w:rPr>
        <w:t>10.8. Será considerada data do pagamento o dia em que constar como emitida a ordem bancária para pagamento.</w:t>
      </w:r>
    </w:p>
    <w:p>
      <w:pPr>
        <w:pStyle w:val="Normal"/>
        <w:spacing w:lineRule="auto" w:line="360" w:before="57" w:after="57"/>
        <w:ind w:hanging="0" w:left="0" w:right="0"/>
        <w:jc w:val="both"/>
        <w:rPr>
          <w:rFonts w:ascii="Verdana" w:hAnsi="Verdana"/>
          <w:sz w:val="20"/>
          <w:szCs w:val="20"/>
        </w:rPr>
      </w:pPr>
      <w:r>
        <w:rPr>
          <w:rFonts w:ascii="Verdana" w:hAnsi="Verdana"/>
          <w:b w:val="false"/>
          <w:bCs w:val="false"/>
          <w:i w:val="false"/>
          <w:iCs w:val="false"/>
          <w:sz w:val="20"/>
          <w:szCs w:val="20"/>
        </w:rPr>
        <w:t>10.9. Quando do pagamento, será efetuada a retenção tributária prevista na legislação aplicável.</w:t>
      </w:r>
    </w:p>
    <w:p>
      <w:pPr>
        <w:pStyle w:val="Normal"/>
        <w:spacing w:lineRule="auto" w:line="360" w:before="57" w:after="57"/>
        <w:ind w:hanging="0" w:left="0" w:right="0"/>
        <w:jc w:val="both"/>
        <w:rPr/>
      </w:pPr>
      <w:r>
        <w:rPr>
          <w:rFonts w:ascii="Verdana" w:hAnsi="Verdana"/>
          <w:b w:val="false"/>
          <w:bCs w:val="false"/>
          <w:i w:val="false"/>
          <w:iCs w:val="false"/>
          <w:sz w:val="20"/>
          <w:szCs w:val="20"/>
          <w:lang w:eastAsia="en-US"/>
        </w:rPr>
        <w:t xml:space="preserve">10.10. O contratado regularmente optante pelo Simples Nacional, nos termos da </w:t>
      </w:r>
      <w:hyperlink r:id="rId2">
        <w:r>
          <w:rPr>
            <w:rStyle w:val="ListLabel2"/>
            <w:rFonts w:ascii="Verdana" w:hAnsi="Verdana"/>
            <w:b w:val="false"/>
            <w:bCs w:val="false"/>
            <w:i w:val="false"/>
            <w:iCs w:val="false"/>
            <w:sz w:val="20"/>
            <w:szCs w:val="20"/>
            <w:u w:val="none"/>
            <w:lang w:eastAsia="en-US"/>
          </w:rPr>
          <w:t>Lei Complementar nº 123, de 2006</w:t>
        </w:r>
      </w:hyperlink>
      <w:r>
        <w:rPr>
          <w:rFonts w:ascii="Verdana" w:hAnsi="Verdana"/>
          <w:b w:val="false"/>
          <w:bCs w:val="false"/>
          <w:i w:val="false"/>
          <w:i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before="57" w:after="57"/>
        <w:ind w:hanging="0" w:left="0" w:right="0"/>
        <w:jc w:val="both"/>
        <w:rPr>
          <w:rFonts w:ascii="Verdana" w:hAnsi="Verdana"/>
          <w:sz w:val="20"/>
          <w:szCs w:val="20"/>
        </w:rPr>
      </w:pPr>
      <w:r>
        <w:rPr>
          <w:rFonts w:ascii="Verdana" w:hAnsi="Verdana"/>
          <w:b w:val="false"/>
          <w:bCs w:val="false"/>
          <w:i w:val="false"/>
          <w:iCs w:val="false"/>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360" w:before="57" w:after="57"/>
        <w:ind w:hanging="0" w:left="0" w:right="0"/>
        <w:jc w:val="both"/>
        <w:rPr>
          <w:rFonts w:ascii="Verdana" w:hAnsi="Verdana"/>
          <w:sz w:val="20"/>
          <w:szCs w:val="20"/>
        </w:rPr>
      </w:pPr>
      <w:r>
        <w:rPr>
          <w:rFonts w:ascii="Verdana" w:hAnsi="Verdana"/>
          <w:b w:val="false"/>
          <w:bCs w:val="false"/>
          <w:i w:val="false"/>
          <w:iCs w:val="false"/>
          <w:color w:val="000000"/>
          <w:sz w:val="20"/>
          <w:szCs w:val="20"/>
        </w:rPr>
        <w:t>10.11.</w:t>
      </w:r>
      <w:r>
        <w:rPr>
          <w:rFonts w:ascii="Verdana" w:hAnsi="Verdana"/>
          <w:b/>
          <w:bCs/>
          <w:color w:val="000000"/>
          <w:sz w:val="20"/>
          <w:szCs w:val="20"/>
        </w:rPr>
        <w:t xml:space="preserve"> </w:t>
      </w:r>
      <w:r>
        <w:rPr>
          <w:rFonts w:ascii="Verdana" w:hAnsi="Verdana"/>
          <w:sz w:val="20"/>
          <w:szCs w:val="20"/>
        </w:rPr>
        <w:t xml:space="preserve"> Após o prazo acima referenciado, será paga multa financeira nos seguintes termos:</w:t>
      </w:r>
    </w:p>
    <w:p>
      <w:pPr>
        <w:pStyle w:val="PargrafodaLista"/>
        <w:tabs>
          <w:tab w:val="clear" w:pos="708"/>
          <w:tab w:val="left" w:pos="518" w:leader="none"/>
        </w:tabs>
        <w:spacing w:lineRule="auto" w:line="360" w:before="57" w:after="57"/>
        <w:ind w:hanging="0" w:left="0" w:right="0"/>
        <w:contextualSpacing w:val="false"/>
        <w:jc w:val="center"/>
        <w:rPr>
          <w:rFonts w:cs="Verdana"/>
        </w:rPr>
      </w:pPr>
      <w:r>
        <w:rPr>
          <w:rFonts w:ascii="Verdana" w:hAnsi="Verdana"/>
          <w:sz w:val="20"/>
          <w:szCs w:val="20"/>
        </w:rPr>
      </w:r>
    </w:p>
    <w:p>
      <w:pPr>
        <w:pStyle w:val="PargrafodaLista"/>
        <w:tabs>
          <w:tab w:val="clear" w:pos="708"/>
          <w:tab w:val="left" w:pos="518" w:leader="none"/>
        </w:tabs>
        <w:spacing w:lineRule="auto" w:line="360" w:before="57" w:after="57"/>
        <w:ind w:hanging="0" w:left="0" w:right="0"/>
        <w:contextualSpacing w:val="false"/>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360" w:before="57" w:after="57"/>
        <w:ind w:hanging="0" w:left="0" w:right="0"/>
        <w:contextualSpacing w:val="false"/>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360" w:before="57" w:after="57"/>
        <w:ind w:left="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360" w:before="57" w:after="57"/>
        <w:ind w:left="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360" w:before="57" w:after="57"/>
        <w:ind w:left="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360" w:before="57" w:after="57"/>
        <w:ind w:hanging="0" w:left="0" w:right="0"/>
        <w:contextualSpacing w:val="false"/>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360" w:before="57" w:after="57"/>
        <w:ind w:left="0"/>
        <w:jc w:val="both"/>
        <w:rPr>
          <w:rFonts w:ascii="Verdana" w:hAnsi="Verdana"/>
          <w:sz w:val="20"/>
          <w:szCs w:val="20"/>
        </w:rPr>
      </w:pPr>
      <w:r>
        <w:rPr>
          <w:rFonts w:eastAsia="Times New Roman" w:cs="Arial" w:ascii="Verdana" w:hAnsi="Verdana"/>
          <w:b w:val="false"/>
          <w:bCs w:val="false"/>
          <w:color w:val="000000"/>
          <w:sz w:val="20"/>
          <w:szCs w:val="20"/>
        </w:rPr>
        <w:t xml:space="preserve">10.12.. </w:t>
      </w:r>
      <w:r>
        <w:rPr>
          <w:rFonts w:cs="Arial" w:ascii="Verdana" w:hAnsi="Verdana"/>
          <w:b w:val="false"/>
          <w:bCs w:val="false"/>
          <w:color w:val="000000"/>
          <w:sz w:val="20"/>
          <w:szCs w:val="20"/>
        </w:rPr>
        <w:t>A NOTA FISCAL ELETRÔNICA deverá conter o mesmo CNPJ e razão social apresentado quando na proposta, assim como, o número da contratação, o (s) objeto (s), os valores unitários e totais.</w:t>
      </w:r>
    </w:p>
    <w:p>
      <w:pPr>
        <w:pStyle w:val="Normal"/>
        <w:suppressAutoHyphens w:val="false"/>
        <w:spacing w:lineRule="auto" w:line="360" w:before="57" w:after="57"/>
        <w:ind w:left="0"/>
        <w:jc w:val="both"/>
        <w:rPr>
          <w:rFonts w:ascii="Verdana" w:hAnsi="Verdana"/>
          <w:sz w:val="20"/>
          <w:szCs w:val="20"/>
        </w:rPr>
      </w:pPr>
      <w:r>
        <w:rPr>
          <w:rFonts w:eastAsia="Times New Roman" w:cs="Arial" w:ascii="Verdana" w:hAnsi="Verdana"/>
          <w:b w:val="false"/>
          <w:bCs w:val="false"/>
          <w:color w:val="000000"/>
          <w:sz w:val="20"/>
          <w:szCs w:val="20"/>
        </w:rPr>
        <w:t>10.13.</w:t>
      </w:r>
      <w:r>
        <w:rPr>
          <w:rFonts w:cs="Arial" w:ascii="Verdana" w:hAnsi="Verdana"/>
          <w:b w:val="false"/>
          <w:bCs w:val="false"/>
          <w:color w:val="000000"/>
          <w:sz w:val="20"/>
          <w:szCs w:val="20"/>
        </w:rPr>
        <w:t xml:space="preserve"> Qualquer alteração feita no contrato social, ato constitutivo ou estatuto deverá ser co</w:t>
      </w:r>
      <w:r>
        <w:rPr>
          <w:rFonts w:cs="Arial" w:ascii="Verdana" w:hAnsi="Verdana"/>
          <w:color w:val="000000"/>
          <w:sz w:val="20"/>
          <w:szCs w:val="20"/>
        </w:rPr>
        <w:t xml:space="preserve">municado ao CONTRATANTE, mediante documentação própria, para apreciação da autoridade competente. </w:t>
      </w:r>
    </w:p>
    <w:p>
      <w:pPr>
        <w:pStyle w:val="Normal"/>
        <w:suppressAutoHyphens w:val="false"/>
        <w:spacing w:lineRule="auto" w:line="360" w:before="57" w:after="57"/>
        <w:ind w:left="0"/>
        <w:jc w:val="both"/>
        <w:rPr>
          <w:rFonts w:ascii="Verdana" w:hAnsi="Verdana"/>
          <w:sz w:val="20"/>
          <w:szCs w:val="20"/>
        </w:rPr>
      </w:pPr>
      <w:r>
        <w:rPr>
          <w:rFonts w:eastAsia="Times New Roman" w:cs="Arial" w:ascii="Verdana" w:hAnsi="Verdana"/>
          <w:b w:val="false"/>
          <w:bCs w:val="false"/>
          <w:color w:val="000000"/>
          <w:sz w:val="20"/>
          <w:szCs w:val="20"/>
        </w:rPr>
        <w:t xml:space="preserve">10.14.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suas obrigações.</w:t>
      </w:r>
    </w:p>
    <w:p>
      <w:pPr>
        <w:pStyle w:val="Default"/>
        <w:spacing w:lineRule="auto" w:line="360" w:before="57" w:after="57"/>
        <w:ind w:left="0"/>
        <w:jc w:val="both"/>
        <w:rPr>
          <w:rFonts w:ascii="Verdana" w:hAnsi="Verdana"/>
          <w:sz w:val="20"/>
          <w:szCs w:val="20"/>
        </w:rPr>
      </w:pPr>
      <w:r>
        <w:rPr>
          <w:rFonts w:cs="Arial" w:ascii="Verdana" w:hAnsi="Verdana"/>
          <w:b w:val="false"/>
          <w:bCs w:val="false"/>
          <w:sz w:val="20"/>
          <w:szCs w:val="20"/>
        </w:rPr>
        <w:t>10.15.</w:t>
      </w:r>
      <w:r>
        <w:rPr>
          <w:rFonts w:cs="Arial" w:ascii="Verdana" w:hAnsi="Verdana"/>
          <w:sz w:val="20"/>
          <w:szCs w:val="20"/>
        </w:rPr>
        <w:t xml:space="preserve"> Para a efetivação do pagamento, a CONTRATADA deverá manter as </w:t>
      </w:r>
      <w:r>
        <w:rPr>
          <w:rFonts w:cs="Arial" w:ascii="Verdana" w:hAnsi="Verdana"/>
          <w:sz w:val="20"/>
          <w:szCs w:val="20"/>
          <w:lang w:eastAsia="pt-BR"/>
        </w:rPr>
        <w:t>condições relativas à proposta de preço e a habilitação;</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bCs/>
          <w:iCs/>
          <w:color w:val="000000"/>
          <w:sz w:val="20"/>
          <w:szCs w:val="20"/>
        </w:rPr>
        <w:t>11</w:t>
      </w:r>
      <w:r>
        <w:rPr>
          <w:rFonts w:ascii="Verdana" w:hAnsi="Verdana"/>
          <w:b/>
          <w:bCs/>
          <w:iCs/>
          <w:sz w:val="20"/>
          <w:szCs w:val="20"/>
        </w:rPr>
        <w:t>. DAS SANÇÕES</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 Comete infração administrativa o fornecedor/prestador de serviço que cometer quaisquer das infrações previstas no art. 155 da Lei nº 14.133, de 2021, quais sejam:</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 Dar causa à inexecução parcial do contrato.</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.1.2. Dar causa à inexecução parcial que cause grave dano à Administração, ao funcionamento dos serviços públicos ou ao interesse coletivo.</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.1.3. Dar causa à inexecução</w:t>
      </w:r>
      <w:r>
        <w:rPr>
          <w:rFonts w:ascii="Verdana" w:hAnsi="Verdana"/>
          <w:b w:val="false"/>
          <w:bCs w:val="false"/>
          <w:iCs/>
          <w:sz w:val="20"/>
          <w:szCs w:val="20"/>
          <w:u w:val="none"/>
        </w:rPr>
        <w:t xml:space="preserve"> </w:t>
      </w:r>
      <w:r>
        <w:rPr>
          <w:rFonts w:cs="Arial" w:ascii="Verdana" w:hAnsi="Verdana"/>
          <w:b w:val="false"/>
          <w:bCs w:val="false"/>
          <w:iCs/>
          <w:sz w:val="20"/>
          <w:szCs w:val="20"/>
          <w:u w:val="none"/>
        </w:rPr>
        <w:t>total.</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.1.4. Deixar de entregar a documentação exigida para o certame.</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.1.5. Não manter a proposta, salvo em decorrência de fato superveniente devidamente justificado.</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.1.6. Não celebrar o contrato ou não entregar a documentação exigida para a contratação, quando convocado dentro do prazo de validade de sua proposta. </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.1.7. Ensejar o retardamento da execução ou da entrega do objeto sem motivo justificado,</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.1.8. Apresentar declaração ou documentação falsa exigida para o certame ou prestar declaração falsa durante a dispensa eletrônica ou a execução do objeto.</w:t>
      </w:r>
    </w:p>
    <w:p>
      <w:pPr>
        <w:pStyle w:val="Normal"/>
        <w:spacing w:lineRule="auto" w:line="360" w:before="57" w:after="57"/>
        <w:ind w:hanging="0" w:left="0" w:right="0"/>
        <w:jc w:val="both"/>
        <w:rPr>
          <w:rFonts w:ascii="Verdana" w:hAnsi="Verdana"/>
          <w:sz w:val="20"/>
          <w:szCs w:val="20"/>
        </w:rPr>
      </w:pPr>
      <w:r>
        <w:rPr>
          <w:rFonts w:ascii="Verdana" w:hAnsi="Verdana"/>
          <w:b w:val="false"/>
          <w:bCs w:val="false"/>
          <w:iCs/>
          <w:sz w:val="20"/>
          <w:szCs w:val="20"/>
        </w:rPr>
        <w:t>11.1.9. Fraudar a dispensa eletrônica ou praticar ato fraudulento na execução do objeto.</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 Comportar-se de modo inidôneo ou cometer fraude de qualquer natureza.</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.1.11. Praticar atos ilícitos com vistas a frustrar os objetivos deste certame.</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.1.12. Praticar ato lesivo previsto no art. 5º da Lei nº 12.846, de 1º de agosto de 2013.</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11.1.13.</w:t>
      </w:r>
      <w:r>
        <w:rPr>
          <w:rFonts w:ascii="Verdana" w:hAnsi="Verdana"/>
          <w:b w:val="false"/>
          <w:bCs w:val="false"/>
          <w:iCs/>
          <w:sz w:val="20"/>
          <w:szCs w:val="20"/>
        </w:rPr>
        <w:t xml:space="preserve"> O fornecedor que cometer qualquer das infrações discriminadas nos subitens anteriores fica</w:t>
      </w:r>
      <w:r>
        <w:rPr>
          <w:rFonts w:ascii="Verdana" w:hAnsi="Verdana"/>
          <w:iCs/>
          <w:sz w:val="20"/>
          <w:szCs w:val="20"/>
        </w:rPr>
        <w:t>rá sujeito, sem prejuízo da responsabilidade civil e criminal, às seguintes sanções:</w:t>
      </w:r>
    </w:p>
    <w:p>
      <w:pPr>
        <w:pStyle w:val="Normal"/>
        <w:spacing w:lineRule="auto" w:line="360" w:before="57" w:after="57"/>
        <w:ind w:hanging="0" w:left="0" w:right="0"/>
        <w:jc w:val="both"/>
        <w:rPr>
          <w:rFonts w:ascii="Verdana" w:hAnsi="Verdana"/>
          <w:sz w:val="20"/>
          <w:szCs w:val="20"/>
        </w:rPr>
      </w:pPr>
      <w:r>
        <w:rPr>
          <w:rFonts w:ascii="Verdana" w:hAnsi="Verdana"/>
          <w:iCs/>
          <w:sz w:val="20"/>
          <w:szCs w:val="20"/>
        </w:rPr>
        <w:tab/>
        <w:t>a) Advertência pela falta do subitem 11.1.1 deste Termo de Referência, quando não se justificar a imposição de penalidade mais grave.</w:t>
      </w:r>
    </w:p>
    <w:p>
      <w:pPr>
        <w:pStyle w:val="Normal"/>
        <w:spacing w:lineRule="auto" w:line="360" w:before="57" w:after="57"/>
        <w:ind w:hanging="0" w:left="0" w:right="0"/>
        <w:jc w:val="both"/>
        <w:rPr>
          <w:rFonts w:ascii="Verdana" w:hAnsi="Verdana"/>
          <w:sz w:val="20"/>
          <w:szCs w:val="20"/>
        </w:rPr>
      </w:pPr>
      <w:r>
        <w:rPr>
          <w:rFonts w:ascii="Verdana" w:hAnsi="Verdana"/>
          <w:iCs/>
          <w:sz w:val="20"/>
          <w:szCs w:val="20"/>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rPr>
        <w:t>11</w:t>
      </w:r>
      <w:r>
        <w:rPr>
          <w:rFonts w:ascii="Verdana" w:hAnsi="Verdana"/>
          <w:iCs/>
          <w:sz w:val="20"/>
          <w:szCs w:val="20"/>
        </w:rPr>
        <w:t xml:space="preserve">.1.7 e 20% (vinte por cento), se cometidas infrações previstas nos itens 11.1.8 a 11.1.12; </w:t>
      </w:r>
    </w:p>
    <w:p>
      <w:pPr>
        <w:pStyle w:val="Normal"/>
        <w:spacing w:lineRule="auto" w:line="360" w:before="57" w:after="57"/>
        <w:ind w:hanging="0" w:left="0" w:right="0"/>
        <w:jc w:val="both"/>
        <w:rPr>
          <w:rFonts w:ascii="Verdana" w:hAnsi="Verdana"/>
          <w:sz w:val="20"/>
          <w:szCs w:val="20"/>
        </w:rPr>
      </w:pPr>
      <w:r>
        <w:rPr>
          <w:rFonts w:ascii="Verdana" w:hAnsi="Verdana"/>
          <w:iCs/>
          <w:sz w:val="20"/>
          <w:szCs w:val="20"/>
        </w:rPr>
        <w:tab/>
        <w:tab/>
        <w:t>b.1) O valor da multa poderá ser descontado das faturas devidas à CONTRATADA;</w:t>
      </w:r>
    </w:p>
    <w:p>
      <w:pPr>
        <w:pStyle w:val="Normal"/>
        <w:spacing w:lineRule="auto" w:line="360" w:before="57" w:after="57"/>
        <w:ind w:hanging="0" w:left="0" w:right="0"/>
        <w:jc w:val="both"/>
        <w:rPr>
          <w:rFonts w:ascii="Verdana" w:hAnsi="Verdana"/>
          <w:sz w:val="20"/>
          <w:szCs w:val="20"/>
        </w:rPr>
      </w:pPr>
      <w:r>
        <w:rPr>
          <w:rFonts w:ascii="Verdana" w:hAnsi="Verdana"/>
          <w:iCs/>
          <w:sz w:val="20"/>
          <w:szCs w:val="20"/>
        </w:rPr>
        <w:tab/>
        <w:tab/>
        <w:t xml:space="preserve">b.2) A multa pode ser aplicada isoladamente ou juntamente com as penalidades definidas nos itens “c” e “d” abaixo: </w:t>
      </w:r>
    </w:p>
    <w:p>
      <w:pPr>
        <w:pStyle w:val="Normal"/>
        <w:spacing w:lineRule="auto" w:line="360" w:before="57" w:after="57"/>
        <w:ind w:hanging="0" w:left="0" w:right="0"/>
        <w:jc w:val="both"/>
        <w:rPr>
          <w:rFonts w:ascii="Verdana" w:hAnsi="Verdana"/>
          <w:sz w:val="20"/>
          <w:szCs w:val="20"/>
        </w:rPr>
      </w:pPr>
      <w:r>
        <w:rPr>
          <w:rFonts w:ascii="Verdana" w:hAnsi="Verdana"/>
          <w:iCs/>
          <w:sz w:val="20"/>
          <w:szCs w:val="20"/>
        </w:rPr>
        <w:tab/>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360" w:before="57" w:after="57"/>
        <w:ind w:hanging="0" w:left="0" w:right="0"/>
        <w:jc w:val="both"/>
        <w:rPr>
          <w:rFonts w:ascii="Verdana" w:hAnsi="Verdana"/>
          <w:sz w:val="20"/>
          <w:szCs w:val="20"/>
        </w:rPr>
      </w:pPr>
      <w:r>
        <w:rPr>
          <w:rFonts w:ascii="Verdana" w:hAnsi="Verdana"/>
          <w:iCs/>
          <w:sz w:val="20"/>
          <w:szCs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 Na aplicação das sanções serão considerados:</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.3.1. A natureza e a gravidade da infração cometida.</w:t>
      </w:r>
    </w:p>
    <w:p>
      <w:pPr>
        <w:pStyle w:val="Normal"/>
        <w:spacing w:lineRule="auto" w:line="360" w:before="57" w:after="57"/>
        <w:ind w:hanging="0" w:left="0" w:right="0"/>
        <w:jc w:val="both"/>
        <w:rPr>
          <w:rFonts w:ascii="Verdana" w:hAnsi="Verdana"/>
          <w:sz w:val="20"/>
          <w:szCs w:val="20"/>
        </w:rPr>
      </w:pPr>
      <w:r>
        <w:rPr>
          <w:rFonts w:ascii="Verdana" w:hAnsi="Verdana"/>
          <w:b w:val="false"/>
          <w:bCs w:val="false"/>
          <w:iCs/>
          <w:sz w:val="20"/>
          <w:szCs w:val="20"/>
        </w:rPr>
        <w:t>11.3.2. As peculiaridades do caso concreto.</w:t>
      </w:r>
    </w:p>
    <w:p>
      <w:pPr>
        <w:pStyle w:val="Normal"/>
        <w:spacing w:lineRule="auto" w:line="360" w:before="57" w:after="57"/>
        <w:ind w:hanging="0" w:left="0" w:right="0"/>
        <w:jc w:val="both"/>
        <w:rPr>
          <w:rFonts w:ascii="Verdana" w:hAnsi="Verdana"/>
          <w:sz w:val="20"/>
          <w:szCs w:val="20"/>
        </w:rPr>
      </w:pPr>
      <w:r>
        <w:rPr>
          <w:rFonts w:ascii="Verdana" w:hAnsi="Verdana"/>
          <w:b w:val="false"/>
          <w:bCs w:val="false"/>
          <w:iCs/>
          <w:sz w:val="20"/>
          <w:szCs w:val="20"/>
        </w:rPr>
        <w:t>11.3.3. As circunstâncias agravantes ou atenuantes.</w:t>
      </w:r>
    </w:p>
    <w:p>
      <w:pPr>
        <w:pStyle w:val="Normal"/>
        <w:spacing w:lineRule="auto" w:line="360" w:before="57" w:after="57"/>
        <w:ind w:hanging="0" w:left="0" w:right="0"/>
        <w:jc w:val="both"/>
        <w:rPr>
          <w:rFonts w:ascii="Verdana" w:hAnsi="Verdana"/>
          <w:sz w:val="20"/>
          <w:szCs w:val="20"/>
        </w:rPr>
      </w:pPr>
      <w:r>
        <w:rPr>
          <w:rFonts w:ascii="Verdana" w:hAnsi="Verdana"/>
          <w:b w:val="false"/>
          <w:bCs w:val="false"/>
          <w:iCs/>
          <w:sz w:val="20"/>
          <w:szCs w:val="20"/>
        </w:rPr>
        <w:t>11.3.4. Os danos que dela provierem para a Administração Pública.</w:t>
      </w:r>
    </w:p>
    <w:p>
      <w:pPr>
        <w:pStyle w:val="Normal"/>
        <w:spacing w:lineRule="auto" w:line="360"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.3.5. A implantação ou o aperfeiçoamento de programa de integridade, conforme normas e orientações dos órgãos de controle.</w:t>
      </w:r>
    </w:p>
    <w:p>
      <w:pPr>
        <w:pStyle w:val="Normal"/>
        <w:spacing w:lineRule="auto" w:line="360" w:before="57" w:after="57"/>
        <w:ind w:hanging="0" w:left="0" w:right="0"/>
        <w:jc w:val="both"/>
        <w:rPr>
          <w:rFonts w:ascii="Verdana" w:hAnsi="Verdana"/>
          <w:sz w:val="20"/>
          <w:szCs w:val="20"/>
        </w:rPr>
      </w:pPr>
      <w:r>
        <w:rPr>
          <w:rFonts w:ascii="Verdana" w:hAnsi="Verdana"/>
          <w:b w:val="false"/>
          <w:bCs w:val="false"/>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360" w:before="57" w:after="57"/>
        <w:ind w:hanging="0" w:left="0" w:right="0"/>
        <w:jc w:val="both"/>
        <w:rPr>
          <w:rFonts w:ascii="Verdana" w:hAnsi="Verdana"/>
          <w:sz w:val="20"/>
          <w:szCs w:val="20"/>
        </w:rPr>
      </w:pPr>
      <w:r>
        <w:rPr>
          <w:rFonts w:ascii="Verdana" w:hAnsi="Verdana"/>
          <w:b w:val="false"/>
          <w:bCs w:val="false"/>
          <w:iCs/>
          <w:sz w:val="20"/>
          <w:szCs w:val="20"/>
          <w:lang w:eastAsia="en-US"/>
        </w:rPr>
        <w:t xml:space="preserve">11.5. </w:t>
      </w:r>
      <w:r>
        <w:rPr>
          <w:rFonts w:ascii="Verdana" w:hAnsi="Verdana"/>
          <w:iCs/>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jc w:val="both"/>
        <w:rPr>
          <w:rFonts w:ascii="Verdana" w:hAnsi="Verdana"/>
          <w:sz w:val="20"/>
          <w:szCs w:val="20"/>
        </w:rPr>
      </w:pPr>
      <w:r>
        <w:rPr>
          <w:rFonts w:ascii="Verdana" w:hAnsi="Verdana"/>
          <w:b/>
          <w:bCs/>
          <w:sz w:val="20"/>
          <w:szCs w:val="20"/>
          <w:lang w:eastAsia="en-US"/>
        </w:rPr>
        <w:t>12. DA HABILITAÇÃO</w:t>
      </w:r>
    </w:p>
    <w:p>
      <w:pPr>
        <w:pStyle w:val="Nivel011"/>
        <w:tabs>
          <w:tab w:val="left" w:pos="517" w:leader="none"/>
          <w:tab w:val="left" w:pos="567" w:leader="none"/>
          <w:tab w:val="left" w:pos="683" w:leader="none"/>
        </w:tabs>
        <w:spacing w:lineRule="auto" w:line="360" w:before="57" w:after="57"/>
        <w:ind w:hanging="0" w:left="0" w:right="0"/>
        <w:rPr>
          <w:rFonts w:ascii="Verdana" w:hAnsi="Verdana"/>
          <w:sz w:val="20"/>
          <w:szCs w:val="2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a) SICAF;</w:t>
      </w:r>
    </w:p>
    <w:p>
      <w:pPr>
        <w:pStyle w:val="ListParagraph"/>
        <w:spacing w:lineRule="auto" w:line="360" w:before="57" w:after="57"/>
        <w:ind w:hanging="0" w:left="0" w:right="0"/>
        <w:contextualSpacing w:val="false"/>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3">
        <w:r>
          <w:rPr>
            <w:rStyle w:val="ListLabel3"/>
            <w:rFonts w:cs="Verdana" w:ascii="Verdana" w:hAnsi="Verdana"/>
            <w:b w:val="false"/>
            <w:bCs w:val="false"/>
            <w:color w:val="000080"/>
            <w:sz w:val="20"/>
            <w:szCs w:val="20"/>
            <w:u w:val="single"/>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360" w:before="57" w:after="57"/>
        <w:ind w:hanging="0" w:left="0" w:right="0"/>
        <w:contextualSpacing w:val="false"/>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4">
        <w:r>
          <w:rPr>
            <w:rStyle w:val="ListLabel3"/>
            <w:rFonts w:cs="Verdana" w:ascii="Verdana" w:hAnsi="Verdana"/>
            <w:b w:val="false"/>
            <w:bCs w:val="false"/>
            <w:color w:val="000080"/>
            <w:sz w:val="20"/>
            <w:szCs w:val="20"/>
            <w:u w:val="single"/>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360" w:before="57" w:after="57"/>
        <w:ind w:left="0"/>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4"/>
            <w:rFonts w:cs="Verdana" w:ascii="Verdana" w:hAnsi="Verdana"/>
            <w:b w:val="false"/>
            <w:bCs w:val="false"/>
            <w:color w:val="000080"/>
            <w:sz w:val="20"/>
            <w:szCs w:val="20"/>
            <w:u w:val="single"/>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360" w:before="57" w:after="57"/>
        <w:ind w:left="0"/>
        <w:jc w:val="both"/>
        <w:rPr/>
      </w:pPr>
      <w:r>
        <w:rPr>
          <w:rFonts w:cs="Verdana" w:ascii="Verdana" w:hAnsi="Verdana"/>
          <w:b w:val="false"/>
          <w:bCs w:val="false"/>
          <w:sz w:val="20"/>
          <w:szCs w:val="20"/>
          <w:lang w:eastAsia="ar-SA"/>
        </w:rPr>
        <w:t xml:space="preserve">12.1.1. </w:t>
      </w:r>
      <w:r>
        <w:rPr>
          <w:rFonts w:cs="Verdana" w:ascii="Verdana" w:hAnsi="Verdana"/>
          <w:sz w:val="20"/>
          <w:szCs w:val="20"/>
          <w:lang w:eastAsia="ar-SA"/>
        </w:rPr>
        <w:t>Para a consulta de licitantes pessoa jurídica poderá haver a substituição das consultas das alíneas “b”, “c” e “d” acima pela Consulta Consolidada de Pessoa Jurídica do TCU (</w:t>
      </w:r>
      <w:hyperlink r:id="rId6">
        <w:r>
          <w:rPr>
            <w:rStyle w:val="ListLabel5"/>
            <w:rFonts w:cs="Verdana" w:ascii="Verdana" w:hAnsi="Verdana"/>
            <w:color w:val="000080"/>
            <w:sz w:val="20"/>
            <w:szCs w:val="20"/>
            <w:u w:val="single"/>
            <w:lang w:eastAsia="ar-SA"/>
          </w:rPr>
          <w:t>https://certidoesapf.apps.tcu.gov.br/</w:t>
        </w:r>
      </w:hyperlink>
      <w:r>
        <w:rPr>
          <w:rFonts w:cs="Verdana" w:ascii="Verdana" w:hAnsi="Verdana"/>
          <w:sz w:val="20"/>
          <w:szCs w:val="20"/>
          <w:lang w:eastAsia="ar-SA"/>
        </w:rPr>
        <w:t>);</w:t>
      </w:r>
    </w:p>
    <w:p>
      <w:pPr>
        <w:pStyle w:val="Normal"/>
        <w:spacing w:lineRule="auto" w:line="360" w:before="57" w:after="57"/>
        <w:ind w:left="0"/>
        <w:jc w:val="both"/>
        <w:rPr>
          <w:rFonts w:ascii="Verdana" w:hAnsi="Verdana"/>
          <w:sz w:val="20"/>
          <w:szCs w:val="20"/>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 xml:space="preserve">12.2.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12.3. Ha</w:t>
      </w:r>
      <w:r>
        <w:rPr>
          <w:rFonts w:cs="Verdana" w:ascii="Verdana" w:hAnsi="Verdana"/>
          <w:color w:val="000000"/>
          <w:sz w:val="20"/>
          <w:szCs w:val="2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rPr>
        <w:t>12.5. Não serão aceitos documentos de habilitação com indicação de CNPJ/CPF diferentes, salvo aqueles legalmente permitidos.</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rPr>
        <w:t>12.6. Serão aceitos registros de CNPJ de licitante matriz e filial com diferenças de números de documentos pertinentes ao CND e ao CRF/FGTS, quando for comprovada a centralização do recolhimento dessas contribuições.</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sz w:val="20"/>
          <w:szCs w:val="20"/>
        </w:rPr>
        <w:t>12.7. Ress</w:t>
      </w:r>
      <w:r>
        <w:rPr>
          <w:rFonts w:cs="Verdana" w:ascii="Verdana" w:hAnsi="Verdana"/>
          <w:sz w:val="20"/>
          <w:szCs w:val="20"/>
        </w:rPr>
        <w:t>alvado o disposto no item 5.3, os licitantes deverão encaminhar, nos termos deste Edital, a documentação relacionada nos itens a seguir, para fins de habilitação:</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bCs/>
          <w:color w:val="000000"/>
          <w:sz w:val="20"/>
          <w:szCs w:val="20"/>
        </w:rPr>
        <w:t>12.8 Habilitação jurídica:</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360" w:before="57" w:after="57"/>
        <w:ind w:hanging="0" w:left="0" w:right="0"/>
        <w:contextualSpacing w:val="false"/>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6"/>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u w:val="single"/>
        </w:rPr>
        <w:t>.</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360" w:before="57" w:after="57"/>
        <w:ind w:left="0"/>
        <w:jc w:val="both"/>
        <w:rPr>
          <w:rFonts w:ascii="Verdana" w:hAnsi="Verdana"/>
          <w:sz w:val="20"/>
          <w:szCs w:val="20"/>
        </w:rPr>
      </w:pPr>
      <w:r>
        <w:rPr>
          <w:rFonts w:cs="Verdana" w:ascii="Verdana" w:hAnsi="Verdana"/>
          <w:b w:val="false"/>
          <w:bCs w:val="false"/>
          <w:sz w:val="20"/>
          <w:szCs w:val="20"/>
          <w:lang w:eastAsia="en-US"/>
        </w:rPr>
        <w:t>12.9.1 Prova de inscrição no Cadastro Nacional de Pessoas Jurídicas ou no Cadastro de Pessoas Físicas, conforme o caso.</w:t>
      </w:r>
    </w:p>
    <w:p>
      <w:pPr>
        <w:pStyle w:val="Normal"/>
        <w:spacing w:lineRule="auto" w:line="360" w:before="57" w:after="57"/>
        <w:ind w:left="0"/>
        <w:jc w:val="both"/>
        <w:rPr>
          <w:rFonts w:ascii="Verdana" w:hAnsi="Verdana"/>
          <w:sz w:val="20"/>
          <w:szCs w:val="20"/>
        </w:rPr>
      </w:pPr>
      <w:r>
        <w:rPr>
          <w:rFonts w:cs="Verdana" w:ascii="Verdana" w:hAnsi="Verdana"/>
          <w:b w:val="false"/>
          <w:bCs w:val="false"/>
          <w:sz w:val="20"/>
          <w:szCs w:val="20"/>
          <w:lang w:eastAsia="en-US"/>
        </w:rPr>
        <w:t>12.9.2 Certidão de regularidade junto à fazenda pública Municipal, do domicílio do Licitante.</w:t>
      </w:r>
    </w:p>
    <w:p>
      <w:pPr>
        <w:pStyle w:val="Normal"/>
        <w:spacing w:lineRule="auto" w:line="360" w:before="57" w:after="57"/>
        <w:ind w:left="0"/>
        <w:jc w:val="both"/>
        <w:rPr>
          <w:rFonts w:ascii="Verdana" w:hAnsi="Verdana"/>
          <w:sz w:val="20"/>
          <w:szCs w:val="20"/>
        </w:rPr>
      </w:pPr>
      <w:r>
        <w:rPr>
          <w:rFonts w:cs="Verdana" w:ascii="Verdana" w:hAnsi="Verdana"/>
          <w:b w:val="false"/>
          <w:bCs w:val="false"/>
          <w:sz w:val="20"/>
          <w:szCs w:val="20"/>
        </w:rPr>
        <w:t>12.9.3 Certidão de regularidade junto à fazenda pública Estadual, do domicílio do Licitante.</w:t>
      </w:r>
    </w:p>
    <w:p>
      <w:pPr>
        <w:pStyle w:val="Normal"/>
        <w:spacing w:lineRule="auto" w:line="360" w:before="57" w:after="57"/>
        <w:ind w:left="0"/>
        <w:jc w:val="both"/>
        <w:rPr>
          <w:rFonts w:ascii="Verdana" w:hAnsi="Verdana"/>
          <w:sz w:val="20"/>
          <w:szCs w:val="20"/>
        </w:rPr>
      </w:pPr>
      <w:r>
        <w:rPr>
          <w:rFonts w:cs="Verdana" w:ascii="Verdana" w:hAnsi="Verdana"/>
          <w:b w:val="false"/>
          <w:bCs w:val="false"/>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360" w:before="57" w:after="57"/>
        <w:ind w:left="0"/>
        <w:jc w:val="both"/>
        <w:rPr>
          <w:rFonts w:ascii="Verdana" w:hAnsi="Verdana"/>
          <w:sz w:val="20"/>
          <w:szCs w:val="20"/>
        </w:rPr>
      </w:pPr>
      <w:r>
        <w:rPr>
          <w:rFonts w:cs="Verdana" w:ascii="Verdana" w:hAnsi="Verdana"/>
          <w:b w:val="false"/>
          <w:bCs w:val="false"/>
          <w:sz w:val="20"/>
          <w:szCs w:val="20"/>
        </w:rPr>
        <w:t>12.9.5 Certidão de regularidade junto ao FGTS;</w:t>
      </w:r>
    </w:p>
    <w:p>
      <w:pPr>
        <w:pStyle w:val="Normal"/>
        <w:spacing w:lineRule="auto" w:line="360" w:before="57" w:after="57"/>
        <w:ind w:left="0"/>
        <w:jc w:val="both"/>
        <w:rPr>
          <w:rFonts w:ascii="Verdana" w:hAnsi="Verdana"/>
          <w:sz w:val="20"/>
          <w:szCs w:val="20"/>
        </w:rPr>
      </w:pPr>
      <w:r>
        <w:rPr>
          <w:rFonts w:cs="Verdana" w:ascii="Verdana" w:hAnsi="Verdana"/>
          <w:b w:val="false"/>
          <w:bCs w:val="false"/>
          <w:sz w:val="20"/>
          <w:szCs w:val="20"/>
          <w:lang w:eastAsia="en-US"/>
        </w:rPr>
        <w:t>12.9.6 Certidão Negativa De Débitos Trabalhistas (CNDT) de acordo com a Lei 12440 de 7 de julho de 2011.</w:t>
      </w:r>
    </w:p>
    <w:p>
      <w:pPr>
        <w:pStyle w:val="Normal"/>
        <w:spacing w:lineRule="auto" w:line="360" w:before="57" w:after="57"/>
        <w:ind w:left="0"/>
        <w:jc w:val="both"/>
        <w:rPr>
          <w:rFonts w:ascii="Verdana" w:hAnsi="Verdana"/>
          <w:sz w:val="20"/>
          <w:szCs w:val="20"/>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w:t>
      </w:r>
      <w:r>
        <w:rPr>
          <w:rFonts w:cs="Verdana" w:ascii="Verdana" w:hAnsi="Verdana"/>
          <w:color w:val="000000"/>
          <w:sz w:val="20"/>
          <w:szCs w:val="20"/>
          <w:lang w:eastAsia="en-US"/>
        </w:rPr>
        <w:t xml:space="preserve"> comprovação de regularidade fiscal, mesmo que esta apresente alguma restrição, sob pena de inabilitação.</w:t>
      </w:r>
    </w:p>
    <w:p>
      <w:pPr>
        <w:pStyle w:val="ListParagraph"/>
        <w:spacing w:lineRule="auto" w:line="360" w:before="57" w:after="57"/>
        <w:ind w:hanging="0" w:left="0" w:right="0"/>
        <w:contextualSpacing w:val="false"/>
        <w:jc w:val="both"/>
        <w:rPr>
          <w:rFonts w:ascii="Verdana" w:hAnsi="Verdana"/>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360" w:before="57" w:after="57"/>
        <w:ind w:left="0"/>
        <w:jc w:val="both"/>
        <w:rPr>
          <w:rFonts w:ascii="Verdana" w:hAnsi="Verdana"/>
          <w:sz w:val="20"/>
          <w:szCs w:val="20"/>
        </w:rPr>
      </w:pPr>
      <w:r>
        <w:rPr>
          <w:rFonts w:cs="Verdana" w:ascii="Verdana" w:hAnsi="Verdana"/>
          <w:b w:val="false"/>
          <w:bCs w:val="false"/>
          <w:color w:val="000000"/>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360" w:before="57" w:after="57"/>
        <w:ind w:left="0"/>
        <w:jc w:val="both"/>
        <w:rPr>
          <w:rFonts w:ascii="Verdana" w:hAnsi="Verdana"/>
          <w:sz w:val="20"/>
          <w:szCs w:val="20"/>
        </w:rPr>
      </w:pPr>
      <w:r>
        <w:rPr>
          <w:rFonts w:cs="Verdana" w:ascii="Verdana" w:hAnsi="Verdana"/>
          <w:b w:val="false"/>
          <w:bCs w:val="false"/>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360" w:before="57" w:after="57"/>
        <w:ind w:hanging="0" w:left="0" w:right="0"/>
        <w:jc w:val="both"/>
        <w:rPr>
          <w:rFonts w:ascii="Verdana" w:hAnsi="Verdana"/>
          <w:sz w:val="20"/>
          <w:szCs w:val="20"/>
        </w:rPr>
      </w:pPr>
      <w:r>
        <w:rPr>
          <w:rFonts w:cs="Verdana" w:ascii="Verdana" w:hAnsi="Verdana"/>
          <w:b w:val="false"/>
          <w:bCs w:val="false"/>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360" w:before="57" w:after="57"/>
        <w:ind w:hanging="0" w:left="0" w:right="0"/>
        <w:jc w:val="both"/>
        <w:rPr>
          <w:rFonts w:ascii="Verdana" w:hAnsi="Verdana"/>
          <w:sz w:val="20"/>
          <w:szCs w:val="20"/>
        </w:rPr>
      </w:pPr>
      <w:r>
        <w:rPr>
          <w:rFonts w:cs="Verdana" w:ascii="Verdana" w:hAnsi="Verdana"/>
          <w:b w:val="false"/>
          <w:bCs w:val="false"/>
          <w:color w:val="000000"/>
          <w:sz w:val="20"/>
          <w:szCs w:val="20"/>
          <w:lang w:eastAsia="en-US"/>
        </w:rPr>
        <w:t xml:space="preserve">12.10.4 </w:t>
      </w:r>
      <w:r>
        <w:rPr>
          <w:rFonts w:cs="Verdana" w:ascii="Verdana" w:hAnsi="Verdana"/>
          <w:color w:val="000000"/>
          <w:sz w:val="20"/>
          <w:szCs w:val="2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40" w:before="57" w:after="57"/>
        <w:ind w:left="0"/>
        <w:jc w:val="both"/>
        <w:rPr>
          <w:rFonts w:ascii="Verdana" w:hAnsi="Verdana" w:cs="Verdana"/>
          <w:b w:val="false"/>
          <w:bCs w:val="false"/>
          <w:color w:val="000000"/>
          <w:sz w:val="20"/>
          <w:u w:val="single"/>
          <w:shd w:fill="FFFFFF" w:val="clear"/>
        </w:rPr>
      </w:pPr>
      <w:r>
        <w:rPr>
          <w:rFonts w:cs="Verdana" w:ascii="Verdana" w:hAnsi="Verdana"/>
          <w:b w:val="false"/>
          <w:bCs w:val="false"/>
          <w:color w:val="000000"/>
          <w:sz w:val="20"/>
          <w:u w:val="single"/>
          <w:shd w:fill="FFFFFF" w:val="clear"/>
        </w:rPr>
      </w:r>
    </w:p>
    <w:p>
      <w:pPr>
        <w:pStyle w:val="Normal"/>
        <w:spacing w:lineRule="auto" w:line="360" w:before="57" w:after="57"/>
        <w:ind w:hanging="0" w:left="0" w:right="0"/>
        <w:rPr>
          <w:rFonts w:ascii="Verdana" w:hAnsi="Verdana"/>
          <w:sz w:val="20"/>
          <w:szCs w:val="20"/>
        </w:rPr>
      </w:pPr>
      <w:r>
        <w:rPr>
          <w:rFonts w:cs="Times New Roman" w:ascii="Verdana" w:hAnsi="Verdana"/>
          <w:b/>
          <w:bCs/>
          <w:sz w:val="20"/>
          <w:szCs w:val="20"/>
        </w:rPr>
        <w:t xml:space="preserve">13.  ADEQUAÇÃO ORÇAMENTÁRIA </w:t>
      </w:r>
    </w:p>
    <w:p>
      <w:pPr>
        <w:pStyle w:val="ListParagraph"/>
        <w:spacing w:lineRule="auto" w:line="360" w:before="57" w:after="57"/>
        <w:ind w:hanging="0" w:left="0" w:right="0"/>
        <w:contextualSpacing w:val="false"/>
        <w:jc w:val="both"/>
        <w:rPr>
          <w:rFonts w:ascii="Verdana" w:hAnsi="Verdana"/>
          <w:sz w:val="20"/>
          <w:szCs w:val="20"/>
        </w:rPr>
      </w:pPr>
      <w:r>
        <w:rPr>
          <w:rFonts w:ascii="Verdana" w:hAnsi="Verdana"/>
          <w:b w:val="false"/>
          <w:bCs w:val="false"/>
          <w:sz w:val="20"/>
          <w:szCs w:val="20"/>
        </w:rPr>
        <w:t>13.1.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 </w:t>
      </w:r>
      <w:r>
        <w:rPr>
          <w:rFonts w:cs="Arial" w:ascii="Verdana" w:hAnsi="Verdana"/>
          <w:b/>
          <w:sz w:val="20"/>
          <w:szCs w:val="20"/>
          <w:u w:val="single"/>
        </w:rPr>
        <w:t>da Secretaria Municipal de Saúde.</w:t>
      </w:r>
    </w:p>
    <w:p>
      <w:pPr>
        <w:pStyle w:val="Normal"/>
        <w:spacing w:lineRule="auto" w:line="240" w:before="57" w:after="57"/>
        <w:ind w:left="0"/>
        <w:jc w:val="both"/>
        <w:rPr>
          <w:rFonts w:ascii="Verdana" w:hAnsi="Verdana" w:eastAsia="Times New Roman" w:cs="Verdana"/>
          <w:b w:val="false"/>
          <w:bCs w:val="false"/>
          <w:color w:val="000000"/>
          <w:kern w:val="0"/>
          <w:sz w:val="20"/>
          <w:szCs w:val="20"/>
          <w:u w:val="single"/>
          <w:shd w:fill="FFFFFF" w:val="clear"/>
          <w:lang w:val="pt-BR" w:eastAsia="pt-BR" w:bidi="ar-SA"/>
        </w:rPr>
      </w:pPr>
      <w:r>
        <w:rPr>
          <w:rFonts w:eastAsia="Times New Roman" w:cs="Verdana" w:ascii="Verdana" w:hAnsi="Verdana"/>
          <w:b w:val="false"/>
          <w:bCs w:val="false"/>
          <w:color w:val="000000"/>
          <w:kern w:val="0"/>
          <w:sz w:val="20"/>
          <w:szCs w:val="20"/>
          <w:u w:val="single"/>
          <w:shd w:fill="FFFFFF" w:val="clear"/>
          <w:lang w:val="pt-BR" w:eastAsia="pt-BR" w:bidi="ar-SA"/>
        </w:rPr>
      </w:r>
    </w:p>
    <w:p>
      <w:pPr>
        <w:pStyle w:val="Normal"/>
        <w:spacing w:lineRule="auto" w:line="360" w:before="57" w:after="57"/>
        <w:ind w:left="0"/>
        <w:jc w:val="both"/>
        <w:rPr>
          <w:rFonts w:ascii="Verdana" w:hAnsi="Verdana"/>
          <w:sz w:val="20"/>
          <w:szCs w:val="20"/>
        </w:rPr>
      </w:pPr>
      <w:r>
        <w:rPr>
          <w:rFonts w:cs="Arial" w:ascii="Verdana" w:hAnsi="Verdana"/>
          <w:b/>
          <w:bCs/>
          <w:color w:val="000000"/>
          <w:sz w:val="20"/>
          <w:szCs w:val="20"/>
        </w:rPr>
        <w:t>14. DOS RESPONSÁVEIS PELA ELABORAÇÃO DO TERMO DE REFERÊNCIA</w:t>
      </w:r>
    </w:p>
    <w:p>
      <w:pPr>
        <w:pStyle w:val="Normal"/>
        <w:spacing w:lineRule="auto" w:line="360" w:before="57" w:after="57"/>
        <w:ind w:left="0"/>
        <w:jc w:val="both"/>
        <w:rPr>
          <w:rFonts w:ascii="Verdana" w:hAnsi="Verdana"/>
          <w:sz w:val="20"/>
          <w:szCs w:val="20"/>
        </w:rPr>
      </w:pPr>
      <w:r>
        <w:rPr>
          <w:rFonts w:cs="Arial" w:ascii="Verdana" w:hAnsi="Verdana"/>
          <w:b w:val="false"/>
          <w:bCs w:val="false"/>
          <w:color w:val="000000"/>
          <w:sz w:val="20"/>
          <w:szCs w:val="20"/>
        </w:rPr>
        <w:t>14.1. A compilação d</w:t>
      </w:r>
      <w:r>
        <w:rPr>
          <w:rFonts w:eastAsia="Times New Roman" w:cs="Arial" w:ascii="Verdana" w:hAnsi="Verdana"/>
          <w:b w:val="false"/>
          <w:bCs w:val="false"/>
          <w:color w:val="000000"/>
          <w:sz w:val="20"/>
          <w:szCs w:val="20"/>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sz w:val="20"/>
          <w:szCs w:val="20"/>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276" w:before="57" w:after="57"/>
        <w:ind w:left="0"/>
        <w:jc w:val="right"/>
        <w:rPr>
          <w:rFonts w:ascii="Verdana" w:hAnsi="Verdana"/>
          <w:sz w:val="20"/>
          <w:szCs w:val="20"/>
        </w:rPr>
      </w:pPr>
      <w:r>
        <w:rPr>
          <w:rFonts w:ascii="Verdana" w:hAnsi="Verdana"/>
          <w:sz w:val="20"/>
          <w:szCs w:val="20"/>
        </w:rPr>
        <w:t>São Gabriel da Palha, 25 de abril  de 2025.</w:t>
      </w:r>
    </w:p>
    <w:p>
      <w:pPr>
        <w:pStyle w:val="Normal"/>
        <w:spacing w:lineRule="auto" w:line="276" w:before="57" w:after="57"/>
        <w:ind w:left="0"/>
        <w:jc w:val="both"/>
        <w:rPr>
          <w:rFonts w:cs="Arial"/>
          <w:bCs w:val="false"/>
        </w:rPr>
      </w:pPr>
      <w:r>
        <w:rPr>
          <w:rFonts w:ascii="Verdana" w:hAnsi="Verdana"/>
          <w:b w:val="false"/>
          <w:sz w:val="20"/>
          <w:szCs w:val="20"/>
        </w:rPr>
      </w:r>
    </w:p>
    <w:p>
      <w:pPr>
        <w:pStyle w:val="Normal"/>
        <w:spacing w:lineRule="auto" w:line="276" w:before="57" w:after="57"/>
        <w:ind w:left="0"/>
        <w:jc w:val="both"/>
        <w:rPr>
          <w:rFonts w:ascii="Verdana" w:hAnsi="Verdana"/>
          <w:b w:val="false"/>
          <w:sz w:val="20"/>
          <w:szCs w:val="20"/>
        </w:rPr>
      </w:pPr>
      <w:r>
        <w:rPr>
          <w:rFonts w:cs="Arial" w:ascii="Verdana" w:hAnsi="Verdana"/>
          <w:b w:val="false"/>
          <w:bCs w:val="false"/>
          <w:sz w:val="20"/>
          <w:szCs w:val="20"/>
        </w:rPr>
        <w:t>Elaborado por:</w:t>
      </w:r>
    </w:p>
    <w:p>
      <w:pPr>
        <w:pStyle w:val="Normal"/>
        <w:spacing w:lineRule="auto" w:line="276" w:before="57" w:after="57"/>
        <w:ind w:left="0"/>
        <w:rPr>
          <w:rFonts w:ascii="Verdana" w:hAnsi="Verdana"/>
          <w:sz w:val="20"/>
          <w:szCs w:val="20"/>
          <w:u w:val="none"/>
        </w:rPr>
      </w:pPr>
      <w:bookmarkEnd w:id="0"/>
      <w:bookmarkEnd w:id="1"/>
      <w:bookmarkEnd w:id="2"/>
      <w:bookmarkEnd w:id="3"/>
      <w:bookmarkEnd w:id="4"/>
      <w:bookmarkEnd w:id="5"/>
      <w:bookmarkEnd w:id="6"/>
      <w:r>
        <w:rPr>
          <w:rFonts w:cs="Arial" w:ascii="Verdana" w:hAnsi="Verdana"/>
          <w:b/>
          <w:sz w:val="20"/>
          <w:szCs w:val="20"/>
          <w:u w:val="none"/>
        </w:rPr>
        <w:t>KARINA ARRIVABENE</w:t>
      </w:r>
    </w:p>
    <w:p>
      <w:pPr>
        <w:pStyle w:val="Normal"/>
        <w:spacing w:lineRule="auto" w:line="276" w:before="57" w:after="57"/>
        <w:ind w:left="0"/>
        <w:rPr>
          <w:rFonts w:ascii="Verdana" w:hAnsi="Verdana"/>
          <w:sz w:val="20"/>
          <w:szCs w:val="20"/>
          <w:u w:val="none"/>
        </w:rPr>
      </w:pPr>
      <w:r>
        <w:rPr>
          <w:rFonts w:cs="Arial" w:ascii="Verdana" w:hAnsi="Verdana"/>
          <w:b/>
          <w:sz w:val="20"/>
          <w:szCs w:val="20"/>
          <w:u w:val="none"/>
        </w:rPr>
        <w:t>Escriturário</w:t>
      </w:r>
    </w:p>
    <w:p>
      <w:pPr>
        <w:pStyle w:val="Normal"/>
        <w:spacing w:lineRule="auto" w:line="276" w:before="57" w:after="57"/>
        <w:ind w:left="0"/>
        <w:rPr>
          <w:rFonts w:ascii="Verdana" w:hAnsi="Verdana"/>
          <w:sz w:val="20"/>
          <w:szCs w:val="20"/>
        </w:rPr>
      </w:pPr>
      <w:r>
        <w:rPr>
          <w:rFonts w:ascii="Verdana" w:hAnsi="Verdana"/>
          <w:sz w:val="20"/>
          <w:szCs w:val="20"/>
        </w:rPr>
        <w:t>Mat nº 003463</w:t>
      </w:r>
    </w:p>
    <w:p>
      <w:pPr>
        <w:pStyle w:val="Normal"/>
        <w:spacing w:lineRule="auto" w:line="276" w:before="57" w:after="57"/>
        <w:ind w:left="0"/>
        <w:rPr>
          <w:rFonts w:ascii="Verdana" w:hAnsi="Verdana"/>
          <w:sz w:val="20"/>
          <w:szCs w:val="20"/>
        </w:rPr>
      </w:pPr>
      <w:r>
        <w:rPr>
          <w:rFonts w:ascii="Verdana" w:hAnsi="Verdana"/>
          <w:sz w:val="20"/>
          <w:szCs w:val="20"/>
        </w:rPr>
      </w:r>
    </w:p>
    <w:p>
      <w:pPr>
        <w:pStyle w:val="Normal"/>
        <w:spacing w:lineRule="auto" w:line="276" w:before="57" w:after="57"/>
        <w:ind w:left="0"/>
        <w:rPr>
          <w:rFonts w:ascii="Verdana" w:hAnsi="Verdana"/>
          <w:sz w:val="20"/>
          <w:szCs w:val="20"/>
        </w:rPr>
      </w:pPr>
      <w:r>
        <w:rPr>
          <w:rFonts w:ascii="Verdana" w:hAnsi="Verdana"/>
          <w:sz w:val="20"/>
          <w:szCs w:val="20"/>
        </w:rPr>
      </w:r>
    </w:p>
    <w:p>
      <w:pPr>
        <w:pStyle w:val="Normal"/>
        <w:spacing w:lineRule="auto" w:line="276" w:before="57" w:after="57"/>
        <w:ind w:left="0"/>
        <w:rPr>
          <w:rFonts w:ascii="Verdana" w:hAnsi="Verdana"/>
          <w:sz w:val="20"/>
          <w:szCs w:val="20"/>
        </w:rPr>
      </w:pPr>
      <w:r>
        <w:rPr>
          <w:rFonts w:ascii="Verdana" w:hAnsi="Verdana"/>
          <w:sz w:val="20"/>
          <w:szCs w:val="20"/>
        </w:rPr>
        <w:t>A</w:t>
      </w:r>
      <w:r>
        <w:rPr>
          <w:rFonts w:ascii="Verdana" w:hAnsi="Verdana"/>
          <w:sz w:val="20"/>
          <w:szCs w:val="20"/>
        </w:rPr>
        <w:t>provado por</w:t>
      </w:r>
      <w:r>
        <w:rPr>
          <w:rFonts w:ascii="Verdana" w:hAnsi="Verdana"/>
          <w:sz w:val="20"/>
          <w:szCs w:val="20"/>
        </w:rPr>
        <w:t>:</w:t>
      </w:r>
    </w:p>
    <w:p>
      <w:pPr>
        <w:pStyle w:val="Normal"/>
        <w:spacing w:lineRule="auto" w:line="276" w:before="57" w:after="57"/>
        <w:ind w:left="0"/>
        <w:rPr>
          <w:rFonts w:ascii="Verdana" w:hAnsi="Verdana"/>
          <w:b/>
          <w:bCs/>
          <w:sz w:val="20"/>
          <w:szCs w:val="20"/>
        </w:rPr>
      </w:pPr>
      <w:r>
        <w:rPr>
          <w:rFonts w:ascii="Verdana" w:hAnsi="Verdana"/>
          <w:b/>
          <w:bCs/>
          <w:sz w:val="20"/>
          <w:szCs w:val="20"/>
        </w:rPr>
        <w:t>MARCELLA FERREIRA ROSSONI ROCHA</w:t>
      </w:r>
    </w:p>
    <w:p>
      <w:pPr>
        <w:pStyle w:val="Normal"/>
        <w:spacing w:lineRule="auto" w:line="276" w:before="57" w:after="57"/>
        <w:ind w:left="0"/>
        <w:rPr>
          <w:rFonts w:ascii="Verdana" w:hAnsi="Verdana"/>
          <w:b/>
          <w:bCs/>
          <w:sz w:val="20"/>
          <w:szCs w:val="20"/>
        </w:rPr>
      </w:pPr>
      <w:r>
        <w:rPr>
          <w:rFonts w:ascii="Verdana" w:hAnsi="Verdana"/>
          <w:b/>
          <w:bCs/>
          <w:sz w:val="20"/>
          <w:szCs w:val="20"/>
        </w:rPr>
        <w:t>S</w:t>
      </w:r>
      <w:r>
        <w:rPr>
          <w:rFonts w:ascii="Verdana" w:hAnsi="Verdana"/>
          <w:b/>
          <w:bCs/>
          <w:sz w:val="20"/>
          <w:szCs w:val="20"/>
        </w:rPr>
        <w:t>ecretária</w:t>
      </w:r>
      <w:r>
        <w:rPr>
          <w:rFonts w:ascii="Verdana" w:hAnsi="Verdana"/>
          <w:b/>
          <w:bCs/>
          <w:sz w:val="20"/>
          <w:szCs w:val="20"/>
        </w:rPr>
        <w:t xml:space="preserve"> M</w:t>
      </w:r>
      <w:r>
        <w:rPr>
          <w:rFonts w:ascii="Verdana" w:hAnsi="Verdana"/>
          <w:b/>
          <w:bCs/>
          <w:sz w:val="20"/>
          <w:szCs w:val="20"/>
        </w:rPr>
        <w:t>unicipal de</w:t>
      </w:r>
      <w:r>
        <w:rPr>
          <w:rFonts w:ascii="Verdana" w:hAnsi="Verdana"/>
          <w:b/>
          <w:bCs/>
          <w:sz w:val="20"/>
          <w:szCs w:val="20"/>
        </w:rPr>
        <w:t xml:space="preserve"> S</w:t>
      </w:r>
      <w:r>
        <w:rPr>
          <w:rFonts w:ascii="Verdana" w:hAnsi="Verdana"/>
          <w:b/>
          <w:bCs/>
          <w:sz w:val="20"/>
          <w:szCs w:val="20"/>
        </w:rPr>
        <w:t>saúde</w:t>
      </w:r>
    </w:p>
    <w:p>
      <w:pPr>
        <w:pStyle w:val="Normal"/>
        <w:spacing w:lineRule="auto" w:line="276" w:before="57" w:after="57"/>
        <w:ind w:left="0"/>
        <w:rPr>
          <w:rFonts w:ascii="Verdana" w:hAnsi="Verdana"/>
          <w:sz w:val="20"/>
          <w:szCs w:val="20"/>
        </w:rPr>
      </w:pPr>
      <w:r>
        <w:rPr>
          <w:rFonts w:ascii="Verdana" w:hAnsi="Verdana"/>
          <w:sz w:val="20"/>
          <w:szCs w:val="20"/>
        </w:rPr>
      </w:r>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50" w:right="996" w:gutter="0" w:header="227" w:top="851" w:footer="354" w:bottom="743"/>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Verdana">
    <w:charset w:val="00"/>
    <w:family w:val="roman"/>
    <w:pitch w:val="variable"/>
  </w:font>
  <w:font w:name="Courier New">
    <w:charset w:val="00"/>
    <w:family w:val="roman"/>
    <w:pitch w:val="variable"/>
  </w:font>
  <w:font w:name="OpenSymbol">
    <w:altName w:val="Arial Unicode MS"/>
    <w:charset w:val="02"/>
    <w:family w:val="auto"/>
    <w:pitch w:val="default"/>
  </w:font>
  <w:font w:name="Liberation Sans">
    <w:altName w:val="Arial"/>
    <w:charset w:val="00"/>
    <w:family w:val="roman"/>
    <w:pitch w:val="variable"/>
  </w:font>
  <w:font w:name="Verdana">
    <w:charset w:val="01"/>
    <w:family w:val="swiss"/>
    <w:pitch w:val="variable"/>
  </w:font>
  <w:font w:name="Arial Narrow">
    <w:charset w:val="00"/>
    <w:family w:val="roma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0"/>
        <w:szCs w:val="20"/>
      </w:rPr>
    </w:pPr>
    <w:r>
      <w:rPr>
        <w:rFonts w:ascii="Verdana" w:hAnsi="Verdana"/>
        <w:sz w:val="20"/>
        <w:szCs w:val="20"/>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0"/>
        <w:szCs w:val="20"/>
      </w:rPr>
    </w:pPr>
    <w:r>
      <w:rPr>
        <w:rFonts w:ascii="Verdana" w:hAnsi="Verdana"/>
        <w:sz w:val="20"/>
        <w:szCs w:val="20"/>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InternetLink" w:customStyle="1">
    <w:name w:val="Internet Link"/>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name w:val="Nivel_01 Char"/>
    <w:qFormat/>
    <w:rPr>
      <w:rFonts w:ascii="Ecofont_Spranq_eco_Sans" w:hAnsi="Ecofont_Spranq_eco_Sans" w:eastAsia="ＭＳ ゴシック" w:cs="Times New Roman"/>
      <w:b/>
      <w:bCs/>
      <w:color w:val="365F91"/>
      <w:sz w:val="32"/>
      <w:szCs w:val="32"/>
    </w:rPr>
  </w:style>
  <w:style w:type="character" w:styleId="Nivel01Char1">
    <w:name w:val="Nivel 01 Char"/>
    <w:qFormat/>
    <w:rPr>
      <w:rFonts w:ascii="Ecofont_Spranq_eco_Sans" w:hAnsi="Ecofont_Spranq_eco_Sans" w:eastAsia="ＭＳ ゴシック"/>
      <w:b/>
      <w:bCs/>
      <w:color w:val="000000"/>
    </w:rPr>
  </w:style>
  <w:style w:type="character" w:styleId="AssuntodocomentrioChar">
    <w:name w:val="Assunto do comentário Char"/>
    <w:qFormat/>
    <w:rPr>
      <w:rFonts w:ascii="Arial" w:hAnsi="Arial" w:cs="Tahoma"/>
      <w:b/>
      <w:bCs/>
    </w:rPr>
  </w:style>
  <w:style w:type="character" w:styleId="TextodecomentrioChar">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apple-style-span">
    <w:name w:val="apple-style-span"/>
    <w:qFormat/>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cs="Tahoma"/>
      <w:sz w:val="16"/>
      <w:szCs w:val="16"/>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qFormat/>
    <w:rPr>
      <w:rFonts w:ascii="Arial" w:hAnsi="Arial" w:eastAsia="Times New Roman" w:cs="Arial"/>
      <w:b/>
      <w:bCs/>
      <w:sz w:val="26"/>
      <w:szCs w:val="26"/>
    </w:rPr>
  </w:style>
  <w:style w:type="character" w:styleId="Ttulo7Char">
    <w:name w:val="Título 7 Char"/>
    <w:qFormat/>
    <w:rPr>
      <w:rFonts w:ascii="Cambria" w:hAnsi="Cambria" w:eastAsia="Calibri" w:cs="Tahoma"/>
      <w:i/>
      <w:iCs/>
      <w:color w:val="404040"/>
      <w:sz w:val="24"/>
      <w:szCs w:val="24"/>
    </w:rPr>
  </w:style>
  <w:style w:type="character" w:styleId="NormalWebChar">
    <w:name w:val="Normal (Web) Char"/>
    <w:qFormat/>
    <w:rPr>
      <w:rFonts w:ascii="Times New Roman" w:hAnsi="Times New Roman" w:eastAsia="Times New Roman" w:cs="Times New Roman"/>
      <w:sz w:val="24"/>
      <w:szCs w:val="24"/>
    </w:rPr>
  </w:style>
  <w:style w:type="character" w:styleId="PargrafoNormalChar">
    <w:name w:val="Parágrafo Normal Char"/>
    <w:qFormat/>
    <w:rPr>
      <w:rFonts w:ascii="Times New Roman" w:hAnsi="Times New Roman" w:eastAsia="Times New Roman" w:cs="Times New Roman"/>
      <w:sz w:val="24"/>
      <w:szCs w:val="24"/>
    </w:rPr>
  </w:style>
  <w:style w:type="character" w:styleId="Hyperlink1">
    <w:name w:val="Hyperlink1"/>
    <w:qFormat/>
    <w:rPr>
      <w:color w:val="000080"/>
      <w:u w:val="single"/>
    </w:rPr>
  </w:style>
  <w:style w:type="character" w:styleId="fontecinza1">
    <w:name w:val="fonte_cinza1"/>
    <w:qFormat/>
    <w:rPr>
      <w:rFonts w:ascii="Verdana" w:hAnsi="Verdana" w:cs="Verdana"/>
      <w:color w:val="333333"/>
      <w:sz w:val="15"/>
      <w:szCs w:val="15"/>
    </w:rPr>
  </w:style>
  <w:style w:type="character" w:styleId="Fontepargpadro">
    <w:name w:val="Fonte parág. padrão"/>
    <w:qFormat/>
    <w:rPr/>
  </w:style>
  <w:style w:type="character" w:styleId="WW8Num6z1">
    <w:name w:val="WW8Num6z1"/>
    <w:qFormat/>
    <w:rPr>
      <w:rFonts w:ascii="Courier New" w:hAnsi="Courier New" w:cs="Courier New"/>
    </w:rPr>
  </w:style>
  <w:style w:type="character" w:styleId="WW8Num5z1">
    <w:name w:val="WW8Num5z1"/>
    <w:qFormat/>
    <w:rPr>
      <w:rFonts w:ascii="Courier New" w:hAnsi="Courier New" w:cs="Courier New"/>
    </w:rPr>
  </w:style>
  <w:style w:type="character" w:styleId="WW8Num4z1">
    <w:name w:val="WW8Num4z1"/>
    <w:qFormat/>
    <w:rPr>
      <w:rFonts w:ascii="Courier New" w:hAnsi="Courier New" w:cs="Courier New"/>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character" w:styleId="Hyperlink">
    <w:name w:val="Hyperlink"/>
    <w:rPr>
      <w:color w:val="000080"/>
      <w:u w:val="single"/>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hanging="0" w:left="72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name w:val="Nivel 5"/>
    <w:qFormat/>
    <w:pPr>
      <w:widowControl/>
      <w:tabs>
        <w:tab w:val="clear" w:pos="708"/>
        <w:tab w:val="left" w:pos="360" w:leader="none"/>
      </w:tabs>
      <w:suppressAutoHyphens w:val="true"/>
      <w:bidi w:val="0"/>
      <w:spacing w:lineRule="auto" w:line="276" w:before="120" w:after="120"/>
      <w:ind w:hanging="0" w:left="3485"/>
      <w:jc w:val="both"/>
    </w:pPr>
    <w:rPr>
      <w:rFonts w:ascii="Ecofont_Spranq_eco_Sans" w:hAnsi="Ecofont_Spranq_eco_Sans" w:eastAsia="Arial Unicode MS" w:cs="Arial"/>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bidi w:val="0"/>
      <w:spacing w:lineRule="auto" w:line="276" w:before="120" w:after="120"/>
      <w:ind w:hanging="0" w:left="2491"/>
      <w:jc w:val="both"/>
    </w:pPr>
    <w:rPr>
      <w:rFonts w:ascii="Ecofont_Spranq_eco_Sans" w:hAnsi="Ecofont_Spranq_eco_Sans" w:eastAsia="Arial Unicode MS" w:cs="Arial"/>
      <w:color w:val="auto"/>
      <w:kern w:val="0"/>
      <w:sz w:val="22"/>
      <w:szCs w:val="22"/>
      <w:lang w:val="pt-BR" w:eastAsia="en-US" w:bidi="ar-SA"/>
    </w:rPr>
  </w:style>
  <w:style w:type="paragraph" w:styleId="Nivel11">
    <w:name w:val="Nivel 1"/>
    <w:qFormat/>
    <w:pPr>
      <w:widowControl/>
      <w:tabs>
        <w:tab w:val="clear" w:pos="708"/>
        <w:tab w:val="left" w:pos="360" w:leader="none"/>
      </w:tabs>
      <w:suppressAutoHyphens w:val="true"/>
      <w:bidi w:val="0"/>
      <w:spacing w:lineRule="auto" w:line="276" w:before="120" w:after="120"/>
      <w:ind w:hanging="432" w:left="644"/>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name w:val="Parágrafo da Lista1"/>
    <w:basedOn w:val="Normal"/>
    <w:qFormat/>
    <w:pPr>
      <w:ind w:hanging="0" w:left="720"/>
    </w:pPr>
    <w:rPr>
      <w:rFonts w:ascii="Ecofont_Spranq_eco_Sans" w:hAnsi="Ecofont_Spranq_eco_Sans" w:cs="Ecofont_Spranq_eco_Sans"/>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rPr>
  </w:style>
  <w:style w:type="paragraph" w:styleId="Nivel01">
    <w:name w:val="Nivel_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365F91"/>
      <w:sz w:val="20"/>
      <w:szCs w:val="20"/>
    </w:rPr>
  </w:style>
  <w:style w:type="paragraph" w:styleId="Nivel01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cs="Times New Roman"/>
      <w:i/>
      <w:iCs/>
      <w:color w:val="000000"/>
      <w:lang w:val="x-none" w:eastAsia="en-US"/>
    </w:rPr>
  </w:style>
  <w:style w:type="paragraph" w:styleId="ListBullet5">
    <w:name w:val="List Bullet 5"/>
    <w:basedOn w:val="Normal"/>
    <w:qFormat/>
    <w:pPr>
      <w:spacing w:before="0" w:after="0"/>
      <w:contextualSpacing/>
    </w:pPr>
    <w:rPr/>
  </w:style>
  <w:style w:type="paragraph" w:styleId="Nvel2">
    <w:name w:val="Nível 2"/>
    <w:basedOn w:val="Normal"/>
    <w:qFormat/>
    <w:pPr>
      <w:spacing w:before="0" w:after="120"/>
      <w:jc w:val="both"/>
    </w:pPr>
    <w:rPr>
      <w:rFonts w:cs="Times New Roman"/>
      <w:b/>
      <w:szCs w:val="20"/>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Autospacing="1" w:afterAutospacing="1"/>
    </w:pPr>
    <w:rPr>
      <w:rFonts w:ascii="Times New Roman" w:hAnsi="Times New Roman" w:cs="Times New Roma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paragraph" w:styleId="Ttulo1">
    <w:name w:val="Título1"/>
    <w:basedOn w:val="Normal"/>
    <w:qFormat/>
    <w:pPr>
      <w:keepNext w:val="true"/>
      <w:spacing w:before="240" w:after="120"/>
    </w:pPr>
    <w:rPr>
      <w:rFonts w:ascii="Liberation Sans" w:hAnsi="Liberation Sans" w:eastAsia="Microsoft YaHei" w:cs="Arial"/>
      <w:sz w:val="28"/>
      <w:szCs w:val="28"/>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qFormat/>
    <w:pPr>
      <w:widowControl w:val="false"/>
      <w:suppressAutoHyphens w:val="true"/>
      <w:bidi w:val="0"/>
      <w:spacing w:before="0" w:after="120"/>
      <w:jc w:val="both"/>
    </w:pPr>
    <w:rPr>
      <w:rFonts w:ascii="Liberation Serif" w:hAnsi="Liberation Serif" w:eastAsia="NSimSun" w:cs="Lucida Sans"/>
      <w:color w:val="auto"/>
      <w:kern w:val="2"/>
      <w:sz w:val="24"/>
      <w:szCs w:val="24"/>
      <w:lang w:val="pt-BR" w:eastAsia="zh-CN" w:bidi="hi-IN"/>
    </w:rPr>
  </w:style>
  <w:style w:type="paragraph" w:styleId="PargrafoNormal">
    <w:name w:val="Parágrafo Normal"/>
    <w:basedOn w:val="Normal"/>
    <w:qFormat/>
    <w:pPr>
      <w:spacing w:before="0" w:after="120"/>
      <w:jc w:val="both"/>
    </w:pPr>
    <w:rPr/>
  </w:style>
  <w:style w:type="paragraph" w:styleId="Nvel2-Red">
    <w:name w:val="Nível 2 -Red"/>
    <w:qFormat/>
    <w:pPr>
      <w:widowControl w:val="false"/>
      <w:suppressAutoHyphens w:val="true"/>
      <w:bidi w:val="0"/>
      <w:spacing w:lineRule="auto" w:line="276" w:before="120" w:after="120"/>
      <w:jc w:val="both"/>
    </w:pPr>
    <w:rPr>
      <w:rFonts w:ascii="Arial" w:hAnsi="Arial" w:eastAsia="Arial" w:cs="Arial"/>
      <w:i/>
      <w:iCs/>
      <w:color w:val="FF0000"/>
      <w:kern w:val="2"/>
      <w:sz w:val="20"/>
      <w:szCs w:val="20"/>
      <w:lang w:val="pt-BR" w:eastAsia="zh-CN" w:bidi="hi-IN"/>
    </w:rPr>
  </w:style>
  <w:style w:type="paragraph" w:styleId="xxdefault">
    <w:name w:val="x_xdefault"/>
    <w:basedOn w:val="Normal"/>
    <w:qFormat/>
    <w:pPr>
      <w:spacing w:before="280" w:after="280"/>
    </w:pPr>
    <w:rPr/>
  </w:style>
  <w:style w:type="paragraph" w:styleId="Textodebalo">
    <w:name w:val="Texto de balão"/>
    <w:basedOn w:val="Normal"/>
    <w:qFormat/>
    <w:pPr/>
    <w:rPr>
      <w:rFonts w:ascii="Tahoma" w:hAnsi="Tahoma" w:cs="Tahoma"/>
      <w:sz w:val="16"/>
      <w:szCs w:val="16"/>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914</TotalTime>
  <Application>LibreOffice/24.2.6.2$Windows_X86_64 LibreOffice_project/ef66aa7e36a1bb8e65bfbc63aba53045a14d0871</Application>
  <AppVersion>15.0000</AppVersion>
  <Pages>12</Pages>
  <Words>4119</Words>
  <Characters>23750</Characters>
  <CharactersWithSpaces>27722</CharactersWithSpaces>
  <Paragraphs>200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dcterms:modified xsi:type="dcterms:W3CDTF">2025-06-02T15:44:25Z</dcterms:modified>
  <cp:revision>142</cp:revision>
  <dc:subject/>
  <dc:title/>
</cp:coreProperties>
</file>

<file path=docProps/custom.xml><?xml version="1.0" encoding="utf-8"?>
<Properties xmlns="http://schemas.openxmlformats.org/officeDocument/2006/custom-properties" xmlns:vt="http://schemas.openxmlformats.org/officeDocument/2006/docPropsVTypes"/>
</file>